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65 220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 43</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45</w:t>
            </w:r>
            <w:r>
              <w:fldChar w:fldCharType="end"/>
            </w:r>
            <w:bookmarkEnd w:id="3"/>
          </w:p>
        </w:tc>
      </w:tr>
    </w:tbl>
    <w:p>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广西壮族自治区</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rPr>
          <w:lang w:val="fr-FR"/>
        </w:rPr>
      </w:pPr>
      <w:r>
        <w:rPr>
          <w:lang w:val="fr-FR"/>
        </w:rPr>
        <w:t>DB</w:t>
      </w:r>
      <w:r>
        <w:rPr>
          <w:rFonts w:ascii="Calibri" w:hAnsi="Calibri" w:eastAsia="宋体"/>
          <w:bCs w:val="0"/>
          <w:kern w:val="2"/>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rPr>
        <w:t>45</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XXXX</w:t>
      </w:r>
      <w:r>
        <w:fldChar w:fldCharType="end"/>
      </w:r>
      <w:bookmarkEnd w:id="7"/>
    </w:p>
    <w:p>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4445" r="0" b="508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Durh1R6gEAALoDAAAOAAAAAAAAAAEAIAAAACcBAABkcnMvZTJvRG9jLnhtbFBLBQYAAAAABgAG&#10;AFkBAACDBQ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泌乳期奶水牛饲养管理技术规程</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hint="eastAsia" w:ascii="黑体" w:hAnsi="黑体" w:eastAsia="黑体"/>
          <w:szCs w:val="28"/>
        </w:rPr>
        <w:t>Code</w:t>
      </w:r>
      <w:r>
        <w:rPr>
          <w:rFonts w:ascii="黑体" w:hAnsi="黑体" w:eastAsia="黑体"/>
          <w:szCs w:val="28"/>
        </w:rPr>
        <w:t xml:space="preserve"> of practi</w:t>
      </w:r>
      <w:r>
        <w:rPr>
          <w:rFonts w:hint="eastAsia" w:ascii="黑体" w:hAnsi="黑体" w:eastAsia="黑体"/>
          <w:szCs w:val="28"/>
        </w:rPr>
        <w:t>c</w:t>
      </w:r>
      <w:r>
        <w:rPr>
          <w:rFonts w:ascii="黑体" w:hAnsi="黑体" w:eastAsia="黑体"/>
          <w:szCs w:val="28"/>
        </w:rPr>
        <w:t xml:space="preserve">e for </w:t>
      </w:r>
      <w:r>
        <w:rPr>
          <w:rFonts w:hint="eastAsia" w:ascii="黑体" w:hAnsi="黑体" w:eastAsia="黑体"/>
          <w:szCs w:val="28"/>
        </w:rPr>
        <w:t xml:space="preserve">feeding </w:t>
      </w:r>
      <w:r>
        <w:rPr>
          <w:rFonts w:ascii="黑体" w:hAnsi="黑体" w:eastAsia="黑体"/>
          <w:szCs w:val="28"/>
        </w:rPr>
        <w:t xml:space="preserve">management </w:t>
      </w:r>
      <w:r>
        <w:rPr>
          <w:rFonts w:hint="eastAsia" w:ascii="黑体" w:hAnsi="黑体" w:eastAsia="黑体"/>
          <w:szCs w:val="28"/>
        </w:rPr>
        <w:t>in</w:t>
      </w:r>
      <w:r>
        <w:rPr>
          <w:rFonts w:ascii="黑体" w:hAnsi="黑体" w:eastAsia="黑体"/>
          <w:szCs w:val="28"/>
        </w:rPr>
        <w:t xml:space="preserve"> lactating dairy buffaloes</w:t>
      </w:r>
      <w:r>
        <w:rPr>
          <w:rFonts w:ascii="黑体" w:hAnsi="黑体"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p>
    <w:p>
      <w:pPr>
        <w:pStyle w:val="125"/>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pPr>
        <w:pStyle w:val="193"/>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广西壮族自治区市场监督管理局</w:t>
      </w:r>
      <w:r>
        <w:rPr>
          <w:rFonts w:hAnsi="黑体"/>
          <w:w w:val="100"/>
          <w:sz w:val="28"/>
        </w:rPr>
        <w:fldChar w:fldCharType="end"/>
      </w:r>
      <w:bookmarkEnd w:id="19"/>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4445" r="0" b="508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3Ymi5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j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3&#10;Ymi56AEAALgDAAAOAAAAAAAAAAEAIAAAACYBAABkcnMvZTJvRG9jLnhtbFBLBQYAAAAABgAGAFkB&#10;AACABQAAAAA=&#10;">
                <v:fill on="f" focussize="0,0"/>
                <v:stroke color="#000000" joinstyle="round"/>
                <v:imagedata o:title=""/>
                <o:lock v:ext="edit" aspectratio="f"/>
                <w10:anchorlock/>
              </v:line>
            </w:pict>
          </mc:Fallback>
        </mc:AlternateContent>
      </w:r>
    </w:p>
    <w:p>
      <w:pPr>
        <w:pStyle w:val="89"/>
        <w:spacing w:before="900" w:after="468"/>
      </w:pPr>
      <w:bookmarkStart w:id="20" w:name="BookMark2"/>
      <w:r>
        <w:rPr>
          <w:spacing w:val="320"/>
        </w:rPr>
        <w:t>前</w:t>
      </w:r>
      <w:r>
        <w:t>言</w:t>
      </w:r>
    </w:p>
    <w:p>
      <w:pPr>
        <w:pStyle w:val="56"/>
        <w:ind w:firstLine="420"/>
        <w:rPr>
          <w:rFonts w:hint="eastAsia"/>
        </w:rPr>
      </w:pPr>
      <w:r>
        <w:rPr>
          <w:rFonts w:hint="eastAsia"/>
        </w:rPr>
        <w:t>本文件按照GB/T 1.1—2020《标准化工作导则  第1部分：标准化文件的结构和起草规则》的规定起草。</w:t>
      </w:r>
    </w:p>
    <w:p>
      <w:pPr>
        <w:pStyle w:val="56"/>
        <w:ind w:firstLine="420"/>
        <w:rPr>
          <w:rFonts w:hint="eastAsia"/>
        </w:rPr>
      </w:pPr>
      <w:r>
        <w:rPr>
          <w:rFonts w:hint="eastAsia"/>
        </w:rPr>
        <w:t>请注意本文件的某些内容可能涉及专利。本文件的发布机构不承担识别专利的责任。</w:t>
      </w:r>
    </w:p>
    <w:p>
      <w:pPr>
        <w:pStyle w:val="56"/>
        <w:ind w:firstLine="420"/>
      </w:pPr>
      <w:r>
        <w:rPr>
          <w:rFonts w:hint="eastAsia"/>
        </w:rPr>
        <w:t>本文件由广西壮族自治区农业农村厅提出、归口</w:t>
      </w:r>
      <w:r>
        <w:t>并</w:t>
      </w:r>
      <w:r>
        <w:rPr>
          <w:rFonts w:hint="eastAsia"/>
        </w:rPr>
        <w:t>宣</w:t>
      </w:r>
      <w:r>
        <w:t>贯</w:t>
      </w:r>
      <w:r>
        <w:rPr>
          <w:rFonts w:hint="eastAsia"/>
        </w:rPr>
        <w:t>。</w:t>
      </w:r>
    </w:p>
    <w:p>
      <w:pPr>
        <w:pStyle w:val="56"/>
        <w:ind w:firstLine="420"/>
      </w:pPr>
      <w:r>
        <w:rPr>
          <w:rFonts w:hint="eastAsia"/>
        </w:rPr>
        <w:t>本文件起草单位：广西壮族自治区水牛研究所。</w:t>
      </w:r>
    </w:p>
    <w:p>
      <w:pPr>
        <w:pStyle w:val="56"/>
        <w:ind w:firstLine="420"/>
      </w:pPr>
      <w:r>
        <w:rPr>
          <w:rFonts w:hint="eastAsia"/>
        </w:rPr>
        <w:t>本文件主要起草人：杨承剑、谢华德、文信旺、谢芳、文崇利、梁辛、唐振华、李孟伟、韦科龙、彭丽娟、罗鲜青、曾繁泉、王克耀、郭艳霞、潘玉红、李舒露。</w:t>
      </w:r>
    </w:p>
    <w:p>
      <w:pPr>
        <w:pStyle w:val="56"/>
        <w:ind w:firstLine="420"/>
      </w:pPr>
    </w:p>
    <w:p>
      <w:pPr>
        <w:pStyle w:val="56"/>
        <w:ind w:firstLine="420"/>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type="lines" w:linePitch="312" w:charSpace="0"/>
        </w:sectPr>
      </w:pPr>
    </w:p>
    <w:bookmarkEnd w:id="20"/>
    <w:p>
      <w:pPr>
        <w:spacing w:line="20" w:lineRule="exact"/>
        <w:jc w:val="center"/>
        <w:rPr>
          <w:rFonts w:ascii="黑体" w:hAnsi="黑体" w:eastAsia="黑体"/>
          <w:sz w:val="32"/>
          <w:szCs w:val="32"/>
        </w:rPr>
      </w:pPr>
      <w:bookmarkStart w:id="21" w:name="BookMark4"/>
    </w:p>
    <w:p>
      <w:pPr>
        <w:spacing w:line="20" w:lineRule="exact"/>
        <w:jc w:val="center"/>
        <w:rPr>
          <w:rFonts w:ascii="黑体" w:hAnsi="黑体" w:eastAsia="黑体"/>
          <w:sz w:val="32"/>
          <w:szCs w:val="32"/>
        </w:rPr>
      </w:pPr>
    </w:p>
    <w:sdt>
      <w:sdtPr>
        <w:tag w:val="NEW_STAND_NAME"/>
        <w:id w:val="595910757"/>
        <w:lock w:val="sdtLocked"/>
        <w:placeholder>
          <w:docPart w:val="BA8B775B6FE64C10ABA4BA644DA8B266"/>
        </w:placeholder>
      </w:sdtPr>
      <w:sdtContent>
        <w:p>
          <w:pPr>
            <w:pStyle w:val="177"/>
            <w:spacing w:beforeLines="100" w:afterLines="220"/>
          </w:pPr>
          <w:bookmarkStart w:id="22" w:name="NEW_STAND_NAME"/>
          <w:r>
            <w:rPr>
              <w:rFonts w:hint="eastAsia"/>
            </w:rPr>
            <w:t>泌乳期奶水牛饲养管理技术规程</w:t>
          </w:r>
        </w:p>
      </w:sdtContent>
    </w:sdt>
    <w:bookmarkEnd w:id="22"/>
    <w:p>
      <w:pPr>
        <w:pStyle w:val="104"/>
        <w:spacing w:before="312" w:after="312"/>
      </w:pPr>
      <w:bookmarkStart w:id="23" w:name="_Toc26986530"/>
      <w:bookmarkStart w:id="24" w:name="_Toc26648465"/>
      <w:bookmarkStart w:id="25" w:name="_Toc24884218"/>
      <w:bookmarkStart w:id="26" w:name="_Toc97191423"/>
      <w:bookmarkStart w:id="27" w:name="_Toc17233333"/>
      <w:bookmarkStart w:id="28" w:name="_Toc24884211"/>
      <w:bookmarkStart w:id="29" w:name="_Toc17233325"/>
      <w:bookmarkStart w:id="30" w:name="_Toc26986771"/>
      <w:bookmarkStart w:id="31" w:name="_Toc26718930"/>
      <w:r>
        <w:rPr>
          <w:rFonts w:hint="eastAsia"/>
        </w:rPr>
        <w:t>范围</w:t>
      </w:r>
      <w:bookmarkEnd w:id="23"/>
      <w:bookmarkEnd w:id="24"/>
      <w:bookmarkEnd w:id="25"/>
      <w:bookmarkEnd w:id="26"/>
      <w:bookmarkEnd w:id="27"/>
      <w:bookmarkEnd w:id="28"/>
      <w:bookmarkEnd w:id="29"/>
      <w:bookmarkEnd w:id="30"/>
      <w:bookmarkEnd w:id="31"/>
    </w:p>
    <w:p>
      <w:pPr>
        <w:pStyle w:val="56"/>
        <w:ind w:firstLine="420"/>
        <w:rPr>
          <w:color w:val="auto"/>
        </w:rPr>
      </w:pPr>
      <w:bookmarkStart w:id="32" w:name="_Toc24884212"/>
      <w:bookmarkStart w:id="33" w:name="_Toc17233326"/>
      <w:bookmarkStart w:id="34" w:name="_Toc17233334"/>
      <w:bookmarkStart w:id="35" w:name="_Toc24884219"/>
      <w:bookmarkStart w:id="36" w:name="_Toc26648466"/>
      <w:r>
        <w:rPr>
          <w:rFonts w:hint="eastAsia"/>
          <w:color w:val="auto"/>
        </w:rPr>
        <w:t>本文件界定了泌乳期奶水牛饲养管理涉及的术语和定义，确立了泌乳期奶水牛饲养管理技术的程序，规定了养殖场选址</w:t>
      </w:r>
      <w:r>
        <w:rPr>
          <w:color w:val="auto"/>
        </w:rPr>
        <w:t>与布局</w:t>
      </w:r>
      <w:r>
        <w:rPr>
          <w:rFonts w:hint="eastAsia"/>
          <w:color w:val="auto"/>
        </w:rPr>
        <w:t>、牛舍设计</w:t>
      </w:r>
      <w:r>
        <w:rPr>
          <w:color w:val="auto"/>
        </w:rPr>
        <w:t>、</w:t>
      </w:r>
      <w:r>
        <w:rPr>
          <w:rFonts w:hint="eastAsia"/>
          <w:color w:val="auto"/>
        </w:rPr>
        <w:t>投入品使用、饲养管理、疫病</w:t>
      </w:r>
      <w:r>
        <w:rPr>
          <w:color w:val="auto"/>
        </w:rPr>
        <w:t>防控</w:t>
      </w:r>
      <w:r>
        <w:rPr>
          <w:rFonts w:hint="eastAsia"/>
          <w:color w:val="auto"/>
        </w:rPr>
        <w:t>、无害化处理、人员管理的操作指示，描述了饲养过程信息的追溯方法。</w:t>
      </w:r>
    </w:p>
    <w:p>
      <w:pPr>
        <w:pStyle w:val="56"/>
        <w:ind w:firstLine="420"/>
        <w:rPr>
          <w:color w:val="auto"/>
        </w:rPr>
      </w:pPr>
      <w:r>
        <w:rPr>
          <w:rFonts w:hint="eastAsia"/>
          <w:color w:val="auto"/>
        </w:rPr>
        <w:t>本文件适用于广西壮族自治区行政区域内泌乳期奶水牛的饲养管理。</w:t>
      </w:r>
    </w:p>
    <w:p>
      <w:pPr>
        <w:pStyle w:val="104"/>
        <w:spacing w:before="312" w:after="312"/>
        <w:rPr>
          <w:color w:val="auto"/>
        </w:rPr>
      </w:pPr>
      <w:bookmarkStart w:id="37" w:name="_Toc26986772"/>
      <w:bookmarkStart w:id="38" w:name="_Toc26986531"/>
      <w:bookmarkStart w:id="39" w:name="_Toc26718931"/>
      <w:bookmarkStart w:id="40" w:name="_Toc97191424"/>
      <w:r>
        <w:rPr>
          <w:rFonts w:hint="eastAsia"/>
          <w:color w:val="auto"/>
        </w:rPr>
        <w:t>规范性引用文件</w:t>
      </w:r>
      <w:bookmarkEnd w:id="32"/>
      <w:bookmarkEnd w:id="33"/>
      <w:bookmarkEnd w:id="34"/>
      <w:bookmarkEnd w:id="35"/>
      <w:bookmarkEnd w:id="36"/>
      <w:bookmarkEnd w:id="37"/>
      <w:bookmarkEnd w:id="38"/>
      <w:bookmarkEnd w:id="39"/>
      <w:bookmarkEnd w:id="40"/>
      <w:r>
        <w:rPr>
          <w:rFonts w:hint="eastAsia"/>
          <w:color w:val="auto"/>
        </w:rPr>
        <w:t xml:space="preserve"> </w:t>
      </w:r>
    </w:p>
    <w:sdt>
      <w:sdtPr>
        <w:rPr>
          <w:rFonts w:hint="eastAsia"/>
          <w:color w:val="auto"/>
        </w:rPr>
        <w:id w:val="715848253"/>
        <w:placeholder>
          <w:docPart w:val="90EAC143C023417685905448AC8C27B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color w:val="auto"/>
        </w:rPr>
      </w:sdtEndPr>
      <w:sdtContent>
        <w:p>
          <w:pPr>
            <w:pStyle w:val="56"/>
            <w:ind w:firstLine="420"/>
            <w:rPr>
              <w:color w:val="auto"/>
            </w:rPr>
          </w:pPr>
          <w:r>
            <w:rPr>
              <w:rFonts w:hint="eastAsia"/>
              <w:color w:val="auto"/>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rPr>
          <w:color w:val="auto"/>
        </w:rPr>
      </w:pPr>
      <w:r>
        <w:rPr>
          <w:rFonts w:hAnsi="宋体" w:cs="宋体"/>
          <w:color w:val="auto"/>
        </w:rPr>
        <w:t xml:space="preserve">GB 13078  </w:t>
      </w:r>
      <w:r>
        <w:rPr>
          <w:rFonts w:hint="eastAsia"/>
          <w:color w:val="auto"/>
        </w:rPr>
        <w:t>饲料卫生标准</w:t>
      </w:r>
    </w:p>
    <w:p>
      <w:pPr>
        <w:pStyle w:val="56"/>
        <w:ind w:firstLine="420"/>
        <w:rPr>
          <w:rFonts w:hAnsi="宋体" w:cs="宋体"/>
          <w:color w:val="auto"/>
        </w:rPr>
      </w:pPr>
      <w:r>
        <w:rPr>
          <w:rFonts w:hint="eastAsia" w:hAnsi="宋体" w:cs="宋体"/>
          <w:color w:val="auto"/>
        </w:rPr>
        <w:t>GB/T 36195  畜禽粪便无害化处理技术规范</w:t>
      </w:r>
    </w:p>
    <w:p>
      <w:pPr>
        <w:pStyle w:val="56"/>
        <w:ind w:firstLine="420"/>
        <w:rPr>
          <w:rFonts w:hAnsi="宋体" w:cs="宋体"/>
          <w:color w:val="auto"/>
        </w:rPr>
      </w:pPr>
      <w:r>
        <w:rPr>
          <w:rFonts w:hint="eastAsia" w:hAnsi="宋体" w:cs="宋体"/>
          <w:color w:val="auto"/>
        </w:rPr>
        <w:t>HJ/T 81  畜禽养殖业污染防治技术规范</w:t>
      </w:r>
    </w:p>
    <w:p>
      <w:pPr>
        <w:pStyle w:val="56"/>
        <w:ind w:firstLine="420"/>
        <w:rPr>
          <w:rFonts w:hAnsi="宋体" w:cs="宋体"/>
          <w:color w:val="auto"/>
        </w:rPr>
      </w:pPr>
      <w:r>
        <w:rPr>
          <w:rFonts w:hint="eastAsia" w:hAnsi="宋体" w:cs="宋体"/>
          <w:color w:val="auto"/>
        </w:rPr>
        <w:t>NY/T 388  畜禽场环境质量标准</w:t>
      </w:r>
    </w:p>
    <w:p>
      <w:pPr>
        <w:pStyle w:val="56"/>
        <w:ind w:firstLine="420"/>
        <w:rPr>
          <w:rFonts w:hAnsi="宋体" w:cs="宋体"/>
          <w:color w:val="auto"/>
        </w:rPr>
      </w:pPr>
      <w:r>
        <w:rPr>
          <w:rFonts w:hint="eastAsia" w:hAnsi="宋体" w:cs="宋体"/>
          <w:color w:val="auto"/>
        </w:rPr>
        <w:t>NY/T 471  绿色食品  畜禽饲料及饲料添加剂使用准则</w:t>
      </w:r>
    </w:p>
    <w:p>
      <w:pPr>
        <w:pStyle w:val="56"/>
        <w:ind w:firstLine="420"/>
        <w:rPr>
          <w:rFonts w:hAnsi="宋体" w:cs="宋体"/>
          <w:color w:val="auto"/>
        </w:rPr>
      </w:pPr>
      <w:r>
        <w:rPr>
          <w:rFonts w:hint="eastAsia" w:hAnsi="宋体" w:cs="宋体"/>
          <w:color w:val="auto"/>
        </w:rPr>
        <w:t>NY/T 472  绿色食品  兽药使用准则</w:t>
      </w:r>
    </w:p>
    <w:p>
      <w:pPr>
        <w:pStyle w:val="56"/>
        <w:ind w:firstLine="420"/>
        <w:rPr>
          <w:rFonts w:hAnsi="宋体" w:cs="宋体"/>
          <w:color w:val="auto"/>
        </w:rPr>
      </w:pPr>
      <w:r>
        <w:rPr>
          <w:rFonts w:hint="eastAsia" w:hAnsi="宋体" w:cs="宋体"/>
          <w:color w:val="auto"/>
        </w:rPr>
        <w:t>NY/T 473  绿色食品  畜禽卫生防疫准则</w:t>
      </w:r>
    </w:p>
    <w:p>
      <w:pPr>
        <w:pStyle w:val="56"/>
        <w:ind w:firstLine="420"/>
        <w:rPr>
          <w:rFonts w:hAnsi="宋体" w:cs="宋体"/>
          <w:color w:val="auto"/>
        </w:rPr>
      </w:pPr>
      <w:r>
        <w:rPr>
          <w:rFonts w:hint="eastAsia" w:hAnsi="宋体" w:cs="宋体"/>
          <w:color w:val="auto"/>
        </w:rPr>
        <w:t>NY 5027  无公害食品  畜禽饮用水水质</w:t>
      </w:r>
    </w:p>
    <w:p>
      <w:pPr>
        <w:pStyle w:val="104"/>
        <w:spacing w:before="312" w:after="312"/>
        <w:rPr>
          <w:color w:val="auto"/>
        </w:rPr>
      </w:pPr>
      <w:bookmarkStart w:id="41" w:name="_Toc97191425"/>
      <w:r>
        <w:rPr>
          <w:rFonts w:hint="eastAsia"/>
          <w:color w:val="auto"/>
          <w:szCs w:val="21"/>
        </w:rPr>
        <w:t>术语和定义</w:t>
      </w:r>
      <w:bookmarkEnd w:id="41"/>
    </w:p>
    <w:sdt>
      <w:sdtPr>
        <w:rPr>
          <w:color w:val="auto"/>
        </w:rPr>
        <w:id w:val="-1909835108"/>
        <w:placeholder>
          <w:docPart w:val="8B8ABD056FFD464FBA1EE9AF48C7AF5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color w:val="auto"/>
        </w:rPr>
      </w:sdtEndPr>
      <w:sdtContent>
        <w:p>
          <w:pPr>
            <w:pStyle w:val="56"/>
            <w:ind w:firstLine="420"/>
            <w:rPr>
              <w:color w:val="auto"/>
            </w:rPr>
          </w:pPr>
          <w:bookmarkStart w:id="42" w:name="_Toc26986532"/>
          <w:bookmarkEnd w:id="42"/>
          <w:r>
            <w:rPr>
              <w:color w:val="auto"/>
            </w:rPr>
            <w:t>下列术语和定义适用于本文件。</w:t>
          </w:r>
        </w:p>
      </w:sdtContent>
    </w:sdt>
    <w:p>
      <w:pPr>
        <w:pStyle w:val="223"/>
        <w:ind w:left="420" w:hanging="420" w:hangingChars="200"/>
        <w:rPr>
          <w:rFonts w:ascii="黑体" w:hAnsi="黑体" w:eastAsia="黑体"/>
          <w:color w:val="auto"/>
        </w:rPr>
      </w:pPr>
      <w:r>
        <w:rPr>
          <w:rFonts w:ascii="黑体" w:hAnsi="黑体" w:eastAsia="黑体"/>
          <w:color w:val="auto"/>
        </w:rPr>
        <w:br w:type="textWrapping"/>
      </w:r>
      <w:r>
        <w:rPr>
          <w:rFonts w:hint="eastAsia" w:ascii="黑体" w:hAnsi="黑体" w:eastAsia="黑体"/>
          <w:color w:val="auto"/>
        </w:rPr>
        <w:t>奶水牛  da</w:t>
      </w:r>
      <w:r>
        <w:rPr>
          <w:rFonts w:ascii="黑体" w:hAnsi="黑体" w:eastAsia="黑体"/>
          <w:color w:val="auto"/>
        </w:rPr>
        <w:t>iry buffalo</w:t>
      </w:r>
    </w:p>
    <w:p>
      <w:pPr>
        <w:pStyle w:val="56"/>
        <w:ind w:firstLine="420"/>
        <w:rPr>
          <w:color w:val="auto"/>
        </w:rPr>
      </w:pPr>
      <w:r>
        <w:rPr>
          <w:rFonts w:hint="eastAsia"/>
          <w:color w:val="auto"/>
        </w:rPr>
        <w:t>指以产奶为主的河流型水牛（染色体数2n</w:t>
      </w:r>
      <w:r>
        <w:rPr>
          <w:color w:val="auto"/>
        </w:rPr>
        <w:t>=50</w:t>
      </w:r>
      <w:r>
        <w:rPr>
          <w:rFonts w:hint="eastAsia"/>
          <w:color w:val="auto"/>
        </w:rPr>
        <w:t>）及其杂交后代。</w:t>
      </w:r>
    </w:p>
    <w:p>
      <w:pPr>
        <w:pStyle w:val="223"/>
        <w:ind w:left="420" w:hanging="420" w:hangingChars="200"/>
        <w:rPr>
          <w:rFonts w:ascii="黑体" w:hAnsi="黑体" w:eastAsia="黑体"/>
          <w:color w:val="auto"/>
        </w:rPr>
      </w:pPr>
      <w:r>
        <w:rPr>
          <w:rFonts w:ascii="黑体" w:hAnsi="黑体" w:eastAsia="黑体"/>
          <w:color w:val="auto"/>
        </w:rPr>
        <w:br w:type="textWrapping"/>
      </w:r>
      <w:r>
        <w:rPr>
          <w:rFonts w:hint="eastAsia" w:ascii="黑体" w:hAnsi="黑体" w:eastAsia="黑体"/>
          <w:color w:val="auto"/>
        </w:rPr>
        <w:t xml:space="preserve">泌乳期 </w:t>
      </w:r>
      <w:r>
        <w:rPr>
          <w:rFonts w:ascii="黑体" w:hAnsi="黑体" w:eastAsia="黑体"/>
          <w:color w:val="auto"/>
        </w:rPr>
        <w:t xml:space="preserve"> </w:t>
      </w:r>
      <w:r>
        <w:rPr>
          <w:rFonts w:hint="eastAsia" w:ascii="黑体" w:hAnsi="黑体" w:eastAsia="黑体"/>
          <w:color w:val="auto"/>
        </w:rPr>
        <w:t>lact</w:t>
      </w:r>
      <w:r>
        <w:rPr>
          <w:rFonts w:ascii="黑体" w:hAnsi="黑体" w:eastAsia="黑体"/>
          <w:color w:val="auto"/>
        </w:rPr>
        <w:t>ation period</w:t>
      </w:r>
    </w:p>
    <w:p>
      <w:pPr>
        <w:pStyle w:val="56"/>
        <w:ind w:firstLine="420"/>
        <w:rPr>
          <w:color w:val="auto"/>
        </w:rPr>
      </w:pPr>
      <w:r>
        <w:rPr>
          <w:rFonts w:hint="eastAsia"/>
          <w:color w:val="auto"/>
        </w:rPr>
        <w:t>奶水牛产犊后即进入泌乳期，通常以2</w:t>
      </w:r>
      <w:r>
        <w:rPr>
          <w:color w:val="auto"/>
        </w:rPr>
        <w:t>70</w:t>
      </w:r>
      <w:r>
        <w:rPr>
          <w:rFonts w:hint="eastAsia"/>
          <w:color w:val="auto"/>
          <w:vertAlign w:val="superscript"/>
        </w:rPr>
        <w:t xml:space="preserve"> </w:t>
      </w:r>
      <w:r>
        <w:rPr>
          <w:rFonts w:hint="eastAsia"/>
          <w:color w:val="auto"/>
        </w:rPr>
        <w:t>d计算。</w:t>
      </w:r>
    </w:p>
    <w:p>
      <w:pPr>
        <w:pStyle w:val="104"/>
        <w:spacing w:before="312" w:after="312"/>
        <w:rPr>
          <w:color w:val="auto"/>
        </w:rPr>
      </w:pPr>
      <w:r>
        <w:rPr>
          <w:rFonts w:hint="eastAsia"/>
          <w:color w:val="auto"/>
        </w:rPr>
        <w:t>养殖场</w:t>
      </w:r>
      <w:r>
        <w:rPr>
          <w:color w:val="auto"/>
        </w:rPr>
        <w:t>选址与布局</w:t>
      </w:r>
    </w:p>
    <w:p>
      <w:pPr>
        <w:pStyle w:val="105"/>
        <w:spacing w:before="156" w:after="156"/>
        <w:rPr>
          <w:color w:val="auto"/>
        </w:rPr>
      </w:pPr>
      <w:r>
        <w:rPr>
          <w:rFonts w:hint="eastAsia"/>
          <w:color w:val="auto"/>
        </w:rPr>
        <w:t>选址</w:t>
      </w:r>
    </w:p>
    <w:p>
      <w:pPr>
        <w:pStyle w:val="56"/>
        <w:ind w:firstLine="420"/>
        <w:rPr>
          <w:color w:val="auto"/>
        </w:rPr>
      </w:pPr>
      <w:r>
        <w:rPr>
          <w:rFonts w:hint="eastAsia"/>
          <w:color w:val="auto"/>
        </w:rPr>
        <w:t>按以下要求选址：</w:t>
      </w:r>
    </w:p>
    <w:p>
      <w:pPr>
        <w:pStyle w:val="174"/>
        <w:rPr>
          <w:color w:val="auto"/>
        </w:rPr>
      </w:pPr>
      <w:r>
        <w:rPr>
          <w:rFonts w:hint="eastAsia"/>
          <w:color w:val="auto"/>
        </w:rPr>
        <w:t>养殖场应地势高、平坦、背风向阳，空气流通，光照和水源充足，排水良好，交通便利，环境符合NY/T</w:t>
      </w:r>
      <w:r>
        <w:rPr>
          <w:rFonts w:hint="eastAsia"/>
          <w:color w:val="auto"/>
          <w:vertAlign w:val="superscript"/>
        </w:rPr>
        <w:t xml:space="preserve"> </w:t>
      </w:r>
      <w:r>
        <w:rPr>
          <w:rFonts w:hint="eastAsia"/>
          <w:color w:val="auto"/>
        </w:rPr>
        <w:t>388的规定；</w:t>
      </w:r>
    </w:p>
    <w:p>
      <w:pPr>
        <w:pStyle w:val="174"/>
        <w:rPr>
          <w:color w:val="auto"/>
        </w:rPr>
      </w:pPr>
      <w:r>
        <w:rPr>
          <w:rFonts w:hint="eastAsia"/>
          <w:color w:val="auto"/>
        </w:rPr>
        <w:t>周围5</w:t>
      </w:r>
      <w:r>
        <w:rPr>
          <w:color w:val="auto"/>
          <w:vertAlign w:val="superscript"/>
        </w:rPr>
        <w:t xml:space="preserve"> </w:t>
      </w:r>
      <w:r>
        <w:rPr>
          <w:rFonts w:hint="eastAsia"/>
          <w:color w:val="auto"/>
        </w:rPr>
        <w:t>km内无采矿场、饲粕厂、皮革厂、肉品加工厂、屠宰厂、活畜交易市场、城镇生活垃圾处理厂、医疗废弃物和其它污染源；</w:t>
      </w:r>
    </w:p>
    <w:p>
      <w:pPr>
        <w:pStyle w:val="174"/>
        <w:rPr>
          <w:color w:val="auto"/>
        </w:rPr>
      </w:pPr>
      <w:r>
        <w:rPr>
          <w:rFonts w:hint="eastAsia"/>
          <w:color w:val="auto"/>
        </w:rPr>
        <w:t>距离水源地、干线公路、铁路、城镇、居民区和公共场所1</w:t>
      </w:r>
      <w:r>
        <w:rPr>
          <w:color w:val="auto"/>
          <w:vertAlign w:val="superscript"/>
        </w:rPr>
        <w:t xml:space="preserve"> </w:t>
      </w:r>
      <w:r>
        <w:rPr>
          <w:rFonts w:hint="eastAsia"/>
          <w:color w:val="auto"/>
        </w:rPr>
        <w:t>km以上；</w:t>
      </w:r>
    </w:p>
    <w:p>
      <w:pPr>
        <w:pStyle w:val="174"/>
        <w:rPr>
          <w:color w:val="auto"/>
        </w:rPr>
      </w:pPr>
      <w:r>
        <w:rPr>
          <w:rFonts w:hint="eastAsia"/>
          <w:color w:val="auto"/>
        </w:rPr>
        <w:t>周围有围墙（围墙高＞</w:t>
      </w:r>
      <w:r>
        <w:rPr>
          <w:color w:val="auto"/>
        </w:rPr>
        <w:t>1.5</w:t>
      </w:r>
      <w:r>
        <w:rPr>
          <w:color w:val="auto"/>
          <w:vertAlign w:val="superscript"/>
        </w:rPr>
        <w:t xml:space="preserve"> </w:t>
      </w:r>
      <w:r>
        <w:rPr>
          <w:color w:val="auto"/>
        </w:rPr>
        <w:t>m</w:t>
      </w:r>
      <w:r>
        <w:rPr>
          <w:rFonts w:hint="eastAsia"/>
          <w:color w:val="auto"/>
        </w:rPr>
        <w:t>)、防疫沟或绿化隔离带。</w:t>
      </w:r>
    </w:p>
    <w:p>
      <w:pPr>
        <w:pStyle w:val="105"/>
        <w:spacing w:before="156" w:after="156"/>
        <w:rPr>
          <w:color w:val="auto"/>
        </w:rPr>
      </w:pPr>
      <w:r>
        <w:rPr>
          <w:rFonts w:hint="eastAsia"/>
          <w:color w:val="auto"/>
        </w:rPr>
        <w:t>布局</w:t>
      </w:r>
    </w:p>
    <w:p>
      <w:pPr>
        <w:pStyle w:val="56"/>
        <w:ind w:firstLine="420"/>
        <w:rPr>
          <w:color w:val="auto"/>
        </w:rPr>
      </w:pPr>
      <w:r>
        <w:rPr>
          <w:rFonts w:hint="eastAsia"/>
          <w:color w:val="auto"/>
        </w:rPr>
        <w:t>按以下要求布局：</w:t>
      </w:r>
    </w:p>
    <w:p>
      <w:pPr>
        <w:pStyle w:val="174"/>
        <w:numPr>
          <w:ilvl w:val="0"/>
          <w:numId w:val="32"/>
        </w:numPr>
        <w:rPr>
          <w:color w:val="auto"/>
        </w:rPr>
      </w:pPr>
      <w:r>
        <w:rPr>
          <w:rFonts w:hint="eastAsia"/>
          <w:color w:val="auto"/>
        </w:rPr>
        <w:t>设生活管理区、生产区和粪污处理区。生活管理区应在场区常年主风向的上风向或侧风向处，生产区和粪污处理区应在生活管理区的下风向或侧风向处；</w:t>
      </w:r>
    </w:p>
    <w:p>
      <w:pPr>
        <w:pStyle w:val="174"/>
        <w:rPr>
          <w:color w:val="auto"/>
        </w:rPr>
      </w:pPr>
      <w:r>
        <w:rPr>
          <w:rFonts w:hint="eastAsia"/>
          <w:color w:val="auto"/>
        </w:rPr>
        <w:t>净道和污道分开设置，互不交叉；</w:t>
      </w:r>
    </w:p>
    <w:p>
      <w:pPr>
        <w:pStyle w:val="174"/>
        <w:rPr>
          <w:color w:val="auto"/>
        </w:rPr>
      </w:pPr>
      <w:r>
        <w:rPr>
          <w:rFonts w:hint="eastAsia"/>
          <w:color w:val="auto"/>
        </w:rPr>
        <w:t>舍饲养殖应设运动场，运动场设置高l.2</w:t>
      </w:r>
      <w:r>
        <w:rPr>
          <w:color w:val="auto"/>
          <w:vertAlign w:val="superscript"/>
        </w:rPr>
        <w:t xml:space="preserve"> </w:t>
      </w:r>
      <w:r>
        <w:rPr>
          <w:rFonts w:hint="eastAsia"/>
          <w:color w:val="auto"/>
        </w:rPr>
        <w:t>m～l.5</w:t>
      </w:r>
      <w:r>
        <w:rPr>
          <w:color w:val="auto"/>
          <w:vertAlign w:val="superscript"/>
        </w:rPr>
        <w:t xml:space="preserve"> </w:t>
      </w:r>
      <w:r>
        <w:rPr>
          <w:rFonts w:hint="eastAsia"/>
          <w:color w:val="auto"/>
        </w:rPr>
        <w:t>m的栏杆或围墙，每头奶水牛占用运动场面积15</w:t>
      </w:r>
      <w:r>
        <w:rPr>
          <w:color w:val="auto"/>
          <w:vertAlign w:val="superscript"/>
        </w:rPr>
        <w:t xml:space="preserve"> </w:t>
      </w:r>
      <w:r>
        <w:rPr>
          <w:rFonts w:hint="eastAsia"/>
          <w:color w:val="auto"/>
        </w:rPr>
        <w:t>m</w:t>
      </w:r>
      <w:r>
        <w:rPr>
          <w:rFonts w:hint="eastAsia"/>
          <w:color w:val="auto"/>
          <w:vertAlign w:val="superscript"/>
        </w:rPr>
        <w:t>2</w:t>
      </w:r>
      <w:r>
        <w:rPr>
          <w:rFonts w:hint="eastAsia"/>
          <w:color w:val="auto"/>
        </w:rPr>
        <w:t>～20</w:t>
      </w:r>
      <w:r>
        <w:rPr>
          <w:color w:val="auto"/>
          <w:vertAlign w:val="superscript"/>
        </w:rPr>
        <w:t xml:space="preserve"> </w:t>
      </w:r>
      <w:r>
        <w:rPr>
          <w:color w:val="auto"/>
        </w:rPr>
        <w:t>m</w:t>
      </w:r>
      <w:r>
        <w:rPr>
          <w:color w:val="auto"/>
          <w:vertAlign w:val="superscript"/>
        </w:rPr>
        <w:t>2</w:t>
      </w:r>
      <w:r>
        <w:rPr>
          <w:rFonts w:hint="eastAsia"/>
          <w:color w:val="auto"/>
        </w:rPr>
        <w:t>；</w:t>
      </w:r>
    </w:p>
    <w:p>
      <w:pPr>
        <w:pStyle w:val="174"/>
        <w:rPr>
          <w:color w:val="auto"/>
        </w:rPr>
      </w:pPr>
      <w:r>
        <w:rPr>
          <w:rFonts w:hint="eastAsia"/>
          <w:color w:val="auto"/>
        </w:rPr>
        <w:t>设有废弃物储存设施；</w:t>
      </w:r>
    </w:p>
    <w:p>
      <w:pPr>
        <w:pStyle w:val="174"/>
        <w:rPr>
          <w:color w:val="auto"/>
        </w:rPr>
      </w:pPr>
      <w:r>
        <w:rPr>
          <w:rFonts w:hint="eastAsia"/>
          <w:color w:val="auto"/>
        </w:rPr>
        <w:t>大门处设置消毒池、消毒间，消毒池要与大门等宽，长度大于出入车确轮胎的外周长；</w:t>
      </w:r>
    </w:p>
    <w:p>
      <w:pPr>
        <w:pStyle w:val="174"/>
        <w:rPr>
          <w:color w:val="auto"/>
        </w:rPr>
      </w:pPr>
      <w:r>
        <w:rPr>
          <w:rFonts w:hint="eastAsia"/>
          <w:color w:val="auto"/>
        </w:rPr>
        <w:t>根据养殖需要修建饲料棚、隔离牛舍、兽医室、防疫注射栏、堆粪场等配套附属设施。</w:t>
      </w:r>
    </w:p>
    <w:p>
      <w:pPr>
        <w:pStyle w:val="104"/>
        <w:spacing w:before="312" w:after="312"/>
        <w:rPr>
          <w:color w:val="auto"/>
        </w:rPr>
      </w:pPr>
      <w:r>
        <w:rPr>
          <w:rFonts w:hint="eastAsia"/>
          <w:color w:val="auto"/>
        </w:rPr>
        <w:t>牛舍设计</w:t>
      </w:r>
    </w:p>
    <w:p>
      <w:pPr>
        <w:pStyle w:val="56"/>
        <w:ind w:firstLine="420"/>
        <w:rPr>
          <w:color w:val="auto"/>
        </w:rPr>
      </w:pPr>
      <w:r>
        <w:rPr>
          <w:rFonts w:hint="eastAsia"/>
          <w:color w:val="auto"/>
        </w:rPr>
        <w:t>按以下要求设计牛舍：</w:t>
      </w:r>
    </w:p>
    <w:p>
      <w:pPr>
        <w:pStyle w:val="174"/>
        <w:numPr>
          <w:ilvl w:val="0"/>
          <w:numId w:val="33"/>
        </w:numPr>
        <w:rPr>
          <w:color w:val="auto"/>
        </w:rPr>
      </w:pPr>
      <w:r>
        <w:rPr>
          <w:rFonts w:hint="eastAsia"/>
          <w:color w:val="auto"/>
        </w:rPr>
        <w:t>成年泌乳期奶水牛的牛床面积（2.00×1.30）</w:t>
      </w:r>
      <w:r>
        <w:rPr>
          <w:color w:val="auto"/>
          <w:vertAlign w:val="superscript"/>
        </w:rPr>
        <w:t xml:space="preserve"> </w:t>
      </w:r>
      <w:r>
        <w:rPr>
          <w:rFonts w:hint="eastAsia"/>
          <w:color w:val="auto"/>
        </w:rPr>
        <w:t>m</w:t>
      </w:r>
      <w:r>
        <w:rPr>
          <w:rFonts w:hint="eastAsia"/>
          <w:color w:val="auto"/>
          <w:vertAlign w:val="superscript"/>
        </w:rPr>
        <w:t>2</w:t>
      </w:r>
      <w:r>
        <w:rPr>
          <w:color w:val="auto"/>
        </w:rPr>
        <w:t>/</w:t>
      </w:r>
      <w:r>
        <w:rPr>
          <w:rFonts w:hint="eastAsia"/>
          <w:color w:val="auto"/>
        </w:rPr>
        <w:t>头；</w:t>
      </w:r>
    </w:p>
    <w:p>
      <w:pPr>
        <w:pStyle w:val="174"/>
        <w:rPr>
          <w:color w:val="auto"/>
        </w:rPr>
      </w:pPr>
      <w:r>
        <w:rPr>
          <w:rFonts w:hint="eastAsia"/>
          <w:color w:val="auto"/>
        </w:rPr>
        <w:t>牛舍为双列式或单列式棚舍；</w:t>
      </w:r>
    </w:p>
    <w:p>
      <w:pPr>
        <w:pStyle w:val="174"/>
        <w:rPr>
          <w:color w:val="auto"/>
        </w:rPr>
      </w:pPr>
      <w:r>
        <w:rPr>
          <w:rFonts w:hint="eastAsia"/>
          <w:color w:val="auto"/>
        </w:rPr>
        <w:t>牛舍地面做到保温、不透水、平整防滑、坚固和舒适，并向粪尿沟倾斜；</w:t>
      </w:r>
    </w:p>
    <w:p>
      <w:pPr>
        <w:pStyle w:val="174"/>
        <w:rPr>
          <w:color w:val="auto"/>
        </w:rPr>
      </w:pPr>
      <w:r>
        <w:rPr>
          <w:rFonts w:hint="eastAsia"/>
          <w:color w:val="auto"/>
        </w:rPr>
        <w:t>建筑材料便于清洁消毒，应防水、抗压、耐火、结构轻便</w:t>
      </w:r>
      <w:r>
        <w:rPr>
          <w:rFonts w:hint="eastAsia"/>
          <w:color w:val="auto"/>
          <w:lang w:eastAsia="zh-CN"/>
        </w:rPr>
        <w:t>。</w:t>
      </w:r>
      <w:bookmarkStart w:id="44" w:name="_GoBack"/>
      <w:bookmarkEnd w:id="44"/>
    </w:p>
    <w:p>
      <w:pPr>
        <w:pStyle w:val="104"/>
        <w:spacing w:before="312" w:after="312"/>
        <w:rPr>
          <w:color w:val="auto"/>
        </w:rPr>
      </w:pPr>
      <w:r>
        <w:rPr>
          <w:rFonts w:hint="eastAsia"/>
          <w:color w:val="auto"/>
        </w:rPr>
        <w:t>投入品使用</w:t>
      </w:r>
    </w:p>
    <w:p>
      <w:pPr>
        <w:pStyle w:val="105"/>
        <w:spacing w:before="156" w:after="156"/>
        <w:rPr>
          <w:rFonts w:eastAsia="宋体"/>
          <w:color w:val="auto"/>
        </w:rPr>
      </w:pPr>
      <w:r>
        <w:rPr>
          <w:rFonts w:hint="eastAsia"/>
          <w:color w:val="auto"/>
        </w:rPr>
        <w:t>饲料</w:t>
      </w:r>
    </w:p>
    <w:p>
      <w:pPr>
        <w:pStyle w:val="65"/>
        <w:spacing w:before="156" w:after="156"/>
        <w:rPr>
          <w:color w:val="auto"/>
        </w:rPr>
      </w:pPr>
      <w:r>
        <w:rPr>
          <w:rFonts w:hint="eastAsia"/>
          <w:color w:val="auto"/>
        </w:rPr>
        <w:t>饲料使用</w:t>
      </w:r>
    </w:p>
    <w:p>
      <w:pPr>
        <w:pStyle w:val="164"/>
        <w:rPr>
          <w:color w:val="auto"/>
        </w:rPr>
      </w:pPr>
      <w:r>
        <w:rPr>
          <w:rFonts w:hint="eastAsia"/>
          <w:color w:val="auto"/>
        </w:rPr>
        <w:t>使用品质优良，无污染、无霉变，并应符合GB</w:t>
      </w:r>
      <w:r>
        <w:rPr>
          <w:color w:val="auto"/>
        </w:rPr>
        <w:t xml:space="preserve"> 13078</w:t>
      </w:r>
      <w:r>
        <w:rPr>
          <w:rFonts w:hint="eastAsia"/>
          <w:color w:val="auto"/>
        </w:rPr>
        <w:t>或NY/T 471的规定的饲料。</w:t>
      </w:r>
    </w:p>
    <w:p>
      <w:pPr>
        <w:pStyle w:val="164"/>
        <w:rPr>
          <w:color w:val="auto"/>
        </w:rPr>
      </w:pPr>
      <w:r>
        <w:rPr>
          <w:rFonts w:hint="eastAsia"/>
          <w:color w:val="auto"/>
        </w:rPr>
        <w:t>不同种类饲料分类存放、清晰标识。</w:t>
      </w:r>
    </w:p>
    <w:p>
      <w:pPr>
        <w:pStyle w:val="65"/>
        <w:spacing w:before="156" w:after="156"/>
        <w:rPr>
          <w:color w:val="auto"/>
        </w:rPr>
      </w:pPr>
      <w:r>
        <w:rPr>
          <w:rFonts w:hint="eastAsia"/>
          <w:color w:val="auto"/>
        </w:rPr>
        <w:t>饲料配制</w:t>
      </w:r>
    </w:p>
    <w:p>
      <w:pPr>
        <w:pStyle w:val="165"/>
        <w:numPr>
          <w:ilvl w:val="3"/>
          <w:numId w:val="0"/>
        </w:numPr>
        <w:ind w:firstLine="420" w:firstLineChars="200"/>
        <w:rPr>
          <w:color w:val="auto"/>
        </w:rPr>
      </w:pPr>
      <w:r>
        <w:rPr>
          <w:rFonts w:hint="eastAsia"/>
          <w:color w:val="auto"/>
        </w:rPr>
        <w:t>按以下要求配制：</w:t>
      </w:r>
    </w:p>
    <w:p>
      <w:pPr>
        <w:pStyle w:val="132"/>
        <w:rPr>
          <w:color w:val="auto"/>
        </w:rPr>
      </w:pPr>
      <w:r>
        <w:rPr>
          <w:rFonts w:hint="eastAsia"/>
          <w:color w:val="auto"/>
        </w:rPr>
        <w:t>根据奶水牛营养需要和饲料原料营养价值制作全混合日粮配方；</w:t>
      </w:r>
    </w:p>
    <w:p>
      <w:pPr>
        <w:pStyle w:val="132"/>
        <w:rPr>
          <w:color w:val="auto"/>
        </w:rPr>
      </w:pPr>
      <w:r>
        <w:rPr>
          <w:rFonts w:hint="eastAsia"/>
          <w:color w:val="auto"/>
        </w:rPr>
        <w:t>原料添加顺序应遵循先轻后重、先长后短、先干后湿原则；</w:t>
      </w:r>
    </w:p>
    <w:p>
      <w:pPr>
        <w:pStyle w:val="132"/>
        <w:rPr>
          <w:color w:val="auto"/>
        </w:rPr>
      </w:pPr>
      <w:r>
        <w:rPr>
          <w:rFonts w:hint="eastAsia"/>
          <w:color w:val="auto"/>
        </w:rPr>
        <w:t>全混合日粮中粗饲料平均长度不应超过3.0</w:t>
      </w:r>
      <w:r>
        <w:rPr>
          <w:rFonts w:hint="eastAsia"/>
          <w:color w:val="auto"/>
          <w:vertAlign w:val="superscript"/>
        </w:rPr>
        <w:t xml:space="preserve"> </w:t>
      </w:r>
      <w:r>
        <w:rPr>
          <w:rFonts w:hint="eastAsia"/>
          <w:color w:val="auto"/>
        </w:rPr>
        <w:t>cm，含水量控制在45％</w:t>
      </w:r>
      <w:r>
        <w:rPr>
          <w:rFonts w:hint="eastAsia" w:ascii="Times New Roman"/>
          <w:color w:val="auto"/>
        </w:rPr>
        <w:t>～</w:t>
      </w:r>
      <w:r>
        <w:rPr>
          <w:color w:val="auto"/>
        </w:rPr>
        <w:t>5</w:t>
      </w:r>
      <w:r>
        <w:rPr>
          <w:rFonts w:hint="eastAsia"/>
          <w:color w:val="auto"/>
        </w:rPr>
        <w:t>5％为宜；</w:t>
      </w:r>
    </w:p>
    <w:p>
      <w:pPr>
        <w:pStyle w:val="132"/>
        <w:rPr>
          <w:color w:val="auto"/>
        </w:rPr>
      </w:pPr>
      <w:r>
        <w:rPr>
          <w:rFonts w:hint="eastAsia"/>
          <w:color w:val="auto"/>
        </w:rPr>
        <w:t>全混合日粮需要搅拌充分，保证混合均匀。</w:t>
      </w:r>
    </w:p>
    <w:p>
      <w:pPr>
        <w:pStyle w:val="65"/>
        <w:spacing w:before="156" w:after="156"/>
        <w:rPr>
          <w:color w:val="auto"/>
        </w:rPr>
      </w:pPr>
      <w:r>
        <w:rPr>
          <w:rFonts w:hint="eastAsia"/>
          <w:color w:val="auto"/>
        </w:rPr>
        <w:t>营养需要</w:t>
      </w:r>
    </w:p>
    <w:p>
      <w:pPr>
        <w:pStyle w:val="165"/>
        <w:numPr>
          <w:ilvl w:val="3"/>
          <w:numId w:val="0"/>
        </w:numPr>
        <w:ind w:firstLine="420" w:firstLineChars="200"/>
        <w:rPr>
          <w:color w:val="auto"/>
        </w:rPr>
      </w:pPr>
      <w:r>
        <w:rPr>
          <w:rFonts w:hint="eastAsia"/>
          <w:color w:val="auto"/>
        </w:rPr>
        <w:t>泌乳期奶水牛营养需要见表1。</w:t>
      </w:r>
    </w:p>
    <w:p>
      <w:pPr>
        <w:pStyle w:val="165"/>
        <w:numPr>
          <w:ilvl w:val="3"/>
          <w:numId w:val="0"/>
        </w:numPr>
        <w:ind w:firstLine="420" w:firstLineChars="200"/>
        <w:rPr>
          <w:color w:val="auto"/>
        </w:rPr>
      </w:pPr>
    </w:p>
    <w:p>
      <w:pPr>
        <w:pStyle w:val="165"/>
        <w:numPr>
          <w:ilvl w:val="3"/>
          <w:numId w:val="0"/>
        </w:numPr>
        <w:ind w:firstLine="420" w:firstLineChars="200"/>
        <w:rPr>
          <w:color w:val="auto"/>
        </w:rPr>
      </w:pPr>
    </w:p>
    <w:p>
      <w:pPr>
        <w:pStyle w:val="112"/>
        <w:spacing w:before="156" w:after="156"/>
        <w:rPr>
          <w:color w:val="auto"/>
        </w:rPr>
      </w:pPr>
      <w:r>
        <w:rPr>
          <w:rFonts w:hint="eastAsia"/>
          <w:color w:val="auto"/>
        </w:rPr>
        <w:t>泌乳期奶水牛不同水平产奶量的营养需要（平均体重6</w:t>
      </w:r>
      <w:r>
        <w:rPr>
          <w:color w:val="auto"/>
        </w:rPr>
        <w:t>50</w:t>
      </w:r>
      <w:r>
        <w:rPr>
          <w:color w:val="auto"/>
          <w:vertAlign w:val="superscript"/>
        </w:rPr>
        <w:t xml:space="preserve"> </w:t>
      </w:r>
      <w:r>
        <w:rPr>
          <w:rFonts w:hint="eastAsia"/>
          <w:color w:val="auto"/>
        </w:rPr>
        <w:t>kg，标准化乳脂8.</w:t>
      </w:r>
      <w:r>
        <w:rPr>
          <w:color w:val="auto"/>
        </w:rPr>
        <w:t>3</w:t>
      </w:r>
      <w:r>
        <w:rPr>
          <w:rFonts w:hint="eastAsia"/>
          <w:color w:val="auto"/>
        </w:rPr>
        <w:t>％，乳蛋白4.</w:t>
      </w:r>
      <w:r>
        <w:rPr>
          <w:color w:val="auto"/>
        </w:rPr>
        <w:t>73</w:t>
      </w:r>
      <w:r>
        <w:rPr>
          <w:rFonts w:hint="eastAsia"/>
          <w:color w:val="auto"/>
        </w:rPr>
        <w:t>％）</w:t>
      </w:r>
    </w:p>
    <w:tbl>
      <w:tblPr>
        <w:tblStyle w:val="27"/>
        <w:tblW w:w="4999"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036"/>
        <w:gridCol w:w="1036"/>
        <w:gridCol w:w="1036"/>
        <w:gridCol w:w="1039"/>
        <w:gridCol w:w="1039"/>
        <w:gridCol w:w="1039"/>
        <w:gridCol w:w="1039"/>
        <w:gridCol w:w="1041"/>
        <w:gridCol w:w="10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553" w:type="pct"/>
            <w:vMerge w:val="restart"/>
            <w:tcBorders>
              <w:top w:val="single" w:color="auto" w:sz="8" w:space="0"/>
            </w:tcBorders>
            <w:shd w:val="clear" w:color="auto" w:fill="auto"/>
            <w:vAlign w:val="center"/>
          </w:tcPr>
          <w:p>
            <w:pPr>
              <w:pStyle w:val="178"/>
              <w:rPr>
                <w:color w:val="auto"/>
              </w:rPr>
            </w:pPr>
          </w:p>
        </w:tc>
        <w:tc>
          <w:tcPr>
            <w:tcW w:w="4446" w:type="pct"/>
            <w:gridSpan w:val="8"/>
            <w:tcBorders>
              <w:top w:val="single" w:color="auto" w:sz="8" w:space="0"/>
              <w:bottom w:val="single" w:color="auto" w:sz="8" w:space="0"/>
            </w:tcBorders>
            <w:shd w:val="clear" w:color="auto" w:fill="auto"/>
            <w:vAlign w:val="center"/>
          </w:tcPr>
          <w:p>
            <w:pPr>
              <w:pStyle w:val="178"/>
              <w:rPr>
                <w:color w:val="auto"/>
              </w:rPr>
            </w:pPr>
            <w:r>
              <w:rPr>
                <w:rFonts w:hint="eastAsia"/>
                <w:color w:val="auto"/>
              </w:rPr>
              <w:t>标准化水牛乳产量，k</w:t>
            </w:r>
            <w:r>
              <w:rPr>
                <w:color w:val="auto"/>
              </w:rPr>
              <w:t>g</w:t>
            </w:r>
            <w:r>
              <w:rPr>
                <w:rFonts w:hint="eastAsia"/>
                <w:color w:val="auto"/>
              </w:rPr>
              <w:t>/</w:t>
            </w:r>
            <w:r>
              <w:rPr>
                <w:color w:val="auto"/>
              </w:rPr>
              <w:t>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53" w:type="pct"/>
            <w:vMerge w:val="continue"/>
            <w:shd w:val="clear" w:color="auto" w:fill="auto"/>
            <w:vAlign w:val="center"/>
          </w:tcPr>
          <w:p>
            <w:pPr>
              <w:pStyle w:val="178"/>
              <w:rPr>
                <w:color w:val="auto"/>
              </w:rPr>
            </w:pPr>
          </w:p>
        </w:tc>
        <w:tc>
          <w:tcPr>
            <w:tcW w:w="553" w:type="pct"/>
            <w:tcBorders>
              <w:top w:val="single" w:color="auto" w:sz="8" w:space="0"/>
            </w:tcBorders>
            <w:shd w:val="clear" w:color="auto" w:fill="auto"/>
            <w:vAlign w:val="center"/>
          </w:tcPr>
          <w:p>
            <w:pPr>
              <w:pStyle w:val="178"/>
              <w:rPr>
                <w:color w:val="auto"/>
              </w:rPr>
            </w:pPr>
            <w:r>
              <w:rPr>
                <w:rFonts w:hint="eastAsia"/>
                <w:color w:val="auto"/>
              </w:rPr>
              <w:t>&lt;</w:t>
            </w:r>
            <w:r>
              <w:rPr>
                <w:color w:val="auto"/>
              </w:rPr>
              <w:t>6</w:t>
            </w:r>
          </w:p>
        </w:tc>
        <w:tc>
          <w:tcPr>
            <w:tcW w:w="553" w:type="pct"/>
            <w:tcBorders>
              <w:top w:val="single" w:color="auto" w:sz="8" w:space="0"/>
            </w:tcBorders>
            <w:shd w:val="clear" w:color="auto" w:fill="auto"/>
            <w:vAlign w:val="center"/>
          </w:tcPr>
          <w:p>
            <w:pPr>
              <w:pStyle w:val="178"/>
              <w:rPr>
                <w:color w:val="auto"/>
              </w:rPr>
            </w:pPr>
            <w:r>
              <w:rPr>
                <w:rFonts w:hint="eastAsia"/>
                <w:color w:val="auto"/>
              </w:rPr>
              <w:t>6</w:t>
            </w:r>
          </w:p>
        </w:tc>
        <w:tc>
          <w:tcPr>
            <w:tcW w:w="554" w:type="pct"/>
            <w:tcBorders>
              <w:top w:val="single" w:color="auto" w:sz="8" w:space="0"/>
            </w:tcBorders>
            <w:shd w:val="clear" w:color="auto" w:fill="auto"/>
            <w:vAlign w:val="center"/>
          </w:tcPr>
          <w:p>
            <w:pPr>
              <w:pStyle w:val="178"/>
              <w:rPr>
                <w:color w:val="auto"/>
              </w:rPr>
            </w:pPr>
            <w:r>
              <w:rPr>
                <w:rFonts w:hint="eastAsia"/>
                <w:color w:val="auto"/>
              </w:rPr>
              <w:t>7</w:t>
            </w:r>
          </w:p>
        </w:tc>
        <w:tc>
          <w:tcPr>
            <w:tcW w:w="554" w:type="pct"/>
            <w:tcBorders>
              <w:top w:val="single" w:color="auto" w:sz="8" w:space="0"/>
            </w:tcBorders>
            <w:shd w:val="clear" w:color="auto" w:fill="auto"/>
            <w:vAlign w:val="center"/>
          </w:tcPr>
          <w:p>
            <w:pPr>
              <w:pStyle w:val="178"/>
              <w:rPr>
                <w:color w:val="auto"/>
              </w:rPr>
            </w:pPr>
            <w:r>
              <w:rPr>
                <w:rFonts w:hint="eastAsia"/>
                <w:color w:val="auto"/>
              </w:rPr>
              <w:t>8</w:t>
            </w:r>
          </w:p>
        </w:tc>
        <w:tc>
          <w:tcPr>
            <w:tcW w:w="554" w:type="pct"/>
            <w:tcBorders>
              <w:top w:val="single" w:color="auto" w:sz="8" w:space="0"/>
            </w:tcBorders>
            <w:shd w:val="clear" w:color="auto" w:fill="auto"/>
            <w:vAlign w:val="center"/>
          </w:tcPr>
          <w:p>
            <w:pPr>
              <w:pStyle w:val="178"/>
              <w:rPr>
                <w:color w:val="auto"/>
              </w:rPr>
            </w:pPr>
            <w:r>
              <w:rPr>
                <w:rFonts w:hint="eastAsia"/>
                <w:color w:val="auto"/>
              </w:rPr>
              <w:t>9</w:t>
            </w:r>
          </w:p>
        </w:tc>
        <w:tc>
          <w:tcPr>
            <w:tcW w:w="554" w:type="pct"/>
            <w:tcBorders>
              <w:top w:val="single" w:color="auto" w:sz="8" w:space="0"/>
            </w:tcBorders>
            <w:shd w:val="clear" w:color="auto" w:fill="auto"/>
            <w:vAlign w:val="center"/>
          </w:tcPr>
          <w:p>
            <w:pPr>
              <w:pStyle w:val="178"/>
              <w:rPr>
                <w:color w:val="auto"/>
              </w:rPr>
            </w:pPr>
            <w:r>
              <w:rPr>
                <w:rFonts w:hint="eastAsia"/>
                <w:color w:val="auto"/>
              </w:rPr>
              <w:t>1</w:t>
            </w:r>
            <w:r>
              <w:rPr>
                <w:color w:val="auto"/>
              </w:rPr>
              <w:t>0</w:t>
            </w:r>
          </w:p>
        </w:tc>
        <w:tc>
          <w:tcPr>
            <w:tcW w:w="555" w:type="pct"/>
            <w:tcBorders>
              <w:top w:val="single" w:color="auto" w:sz="8" w:space="0"/>
            </w:tcBorders>
            <w:shd w:val="clear" w:color="auto" w:fill="auto"/>
            <w:vAlign w:val="center"/>
          </w:tcPr>
          <w:p>
            <w:pPr>
              <w:pStyle w:val="178"/>
              <w:rPr>
                <w:color w:val="auto"/>
              </w:rPr>
            </w:pPr>
            <w:r>
              <w:rPr>
                <w:rFonts w:hint="eastAsia"/>
                <w:color w:val="auto"/>
              </w:rPr>
              <w:t>1</w:t>
            </w:r>
            <w:r>
              <w:rPr>
                <w:color w:val="auto"/>
              </w:rPr>
              <w:t>1</w:t>
            </w:r>
          </w:p>
        </w:tc>
        <w:tc>
          <w:tcPr>
            <w:tcW w:w="565" w:type="pct"/>
            <w:tcBorders>
              <w:top w:val="single" w:color="auto" w:sz="8" w:space="0"/>
            </w:tcBorders>
            <w:shd w:val="clear" w:color="auto" w:fill="auto"/>
            <w:vAlign w:val="center"/>
          </w:tcPr>
          <w:p>
            <w:pPr>
              <w:pStyle w:val="178"/>
              <w:rPr>
                <w:color w:val="auto"/>
              </w:rPr>
            </w:pPr>
            <w:r>
              <w:rPr>
                <w:rFonts w:hint="eastAsia"/>
                <w:color w:val="auto"/>
              </w:rPr>
              <w:t>1</w:t>
            </w:r>
            <w:r>
              <w:rPr>
                <w:color w:val="auto"/>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53" w:type="pct"/>
            <w:shd w:val="clear" w:color="auto" w:fill="auto"/>
            <w:vAlign w:val="center"/>
          </w:tcPr>
          <w:p>
            <w:pPr>
              <w:pStyle w:val="178"/>
              <w:rPr>
                <w:color w:val="auto"/>
              </w:rPr>
            </w:pPr>
            <w:r>
              <w:rPr>
                <w:rFonts w:hint="eastAsia"/>
                <w:color w:val="auto"/>
              </w:rPr>
              <w:t>干物质采食量（DMI），kg/</w:t>
            </w:r>
            <w:r>
              <w:rPr>
                <w:color w:val="auto"/>
              </w:rPr>
              <w:t>d</w:t>
            </w:r>
          </w:p>
        </w:tc>
        <w:tc>
          <w:tcPr>
            <w:tcW w:w="553" w:type="pct"/>
            <w:shd w:val="clear" w:color="auto" w:fill="auto"/>
            <w:vAlign w:val="center"/>
          </w:tcPr>
          <w:p>
            <w:pPr>
              <w:pStyle w:val="178"/>
              <w:rPr>
                <w:color w:val="auto"/>
              </w:rPr>
            </w:pPr>
            <w:r>
              <w:rPr>
                <w:rFonts w:hint="eastAsia"/>
                <w:color w:val="auto"/>
              </w:rPr>
              <w:t>1</w:t>
            </w:r>
            <w:r>
              <w:rPr>
                <w:color w:val="auto"/>
              </w:rPr>
              <w:t>3.3</w:t>
            </w:r>
          </w:p>
        </w:tc>
        <w:tc>
          <w:tcPr>
            <w:tcW w:w="553" w:type="pct"/>
            <w:shd w:val="clear" w:color="auto" w:fill="auto"/>
            <w:vAlign w:val="center"/>
          </w:tcPr>
          <w:p>
            <w:pPr>
              <w:pStyle w:val="178"/>
              <w:rPr>
                <w:color w:val="auto"/>
              </w:rPr>
            </w:pPr>
            <w:r>
              <w:rPr>
                <w:rFonts w:hint="eastAsia"/>
                <w:color w:val="auto"/>
              </w:rPr>
              <w:t>1</w:t>
            </w:r>
            <w:r>
              <w:rPr>
                <w:color w:val="auto"/>
              </w:rPr>
              <w:t>4.2</w:t>
            </w:r>
          </w:p>
        </w:tc>
        <w:tc>
          <w:tcPr>
            <w:tcW w:w="554" w:type="pct"/>
            <w:shd w:val="clear" w:color="auto" w:fill="auto"/>
            <w:vAlign w:val="center"/>
          </w:tcPr>
          <w:p>
            <w:pPr>
              <w:pStyle w:val="178"/>
              <w:rPr>
                <w:color w:val="auto"/>
              </w:rPr>
            </w:pPr>
            <w:r>
              <w:rPr>
                <w:rFonts w:hint="eastAsia"/>
                <w:color w:val="auto"/>
              </w:rPr>
              <w:t>1</w:t>
            </w:r>
            <w:r>
              <w:rPr>
                <w:color w:val="auto"/>
              </w:rPr>
              <w:t>4.7</w:t>
            </w:r>
          </w:p>
        </w:tc>
        <w:tc>
          <w:tcPr>
            <w:tcW w:w="554" w:type="pct"/>
            <w:shd w:val="clear" w:color="auto" w:fill="auto"/>
            <w:vAlign w:val="center"/>
          </w:tcPr>
          <w:p>
            <w:pPr>
              <w:pStyle w:val="178"/>
              <w:rPr>
                <w:color w:val="auto"/>
              </w:rPr>
            </w:pPr>
            <w:r>
              <w:rPr>
                <w:rFonts w:hint="eastAsia"/>
                <w:color w:val="auto"/>
              </w:rPr>
              <w:t>1</w:t>
            </w:r>
            <w:r>
              <w:rPr>
                <w:color w:val="auto"/>
              </w:rPr>
              <w:t>5.1</w:t>
            </w:r>
          </w:p>
        </w:tc>
        <w:tc>
          <w:tcPr>
            <w:tcW w:w="554" w:type="pct"/>
            <w:shd w:val="clear" w:color="auto" w:fill="auto"/>
            <w:vAlign w:val="center"/>
          </w:tcPr>
          <w:p>
            <w:pPr>
              <w:pStyle w:val="178"/>
              <w:rPr>
                <w:color w:val="auto"/>
              </w:rPr>
            </w:pPr>
            <w:r>
              <w:rPr>
                <w:rFonts w:hint="eastAsia"/>
                <w:color w:val="auto"/>
              </w:rPr>
              <w:t>1</w:t>
            </w:r>
            <w:r>
              <w:rPr>
                <w:color w:val="auto"/>
              </w:rPr>
              <w:t>5.6</w:t>
            </w:r>
          </w:p>
        </w:tc>
        <w:tc>
          <w:tcPr>
            <w:tcW w:w="554" w:type="pct"/>
            <w:shd w:val="clear" w:color="auto" w:fill="auto"/>
            <w:vAlign w:val="center"/>
          </w:tcPr>
          <w:p>
            <w:pPr>
              <w:pStyle w:val="178"/>
              <w:rPr>
                <w:color w:val="auto"/>
              </w:rPr>
            </w:pPr>
            <w:r>
              <w:rPr>
                <w:rFonts w:hint="eastAsia"/>
                <w:color w:val="auto"/>
              </w:rPr>
              <w:t>1</w:t>
            </w:r>
            <w:r>
              <w:rPr>
                <w:color w:val="auto"/>
              </w:rPr>
              <w:t>6.1</w:t>
            </w:r>
          </w:p>
        </w:tc>
        <w:tc>
          <w:tcPr>
            <w:tcW w:w="555" w:type="pct"/>
            <w:shd w:val="clear" w:color="auto" w:fill="auto"/>
            <w:vAlign w:val="center"/>
          </w:tcPr>
          <w:p>
            <w:pPr>
              <w:pStyle w:val="178"/>
              <w:rPr>
                <w:color w:val="auto"/>
              </w:rPr>
            </w:pPr>
            <w:r>
              <w:rPr>
                <w:rFonts w:hint="eastAsia"/>
                <w:color w:val="auto"/>
              </w:rPr>
              <w:t>1</w:t>
            </w:r>
            <w:r>
              <w:rPr>
                <w:color w:val="auto"/>
              </w:rPr>
              <w:t>6.5</w:t>
            </w:r>
          </w:p>
        </w:tc>
        <w:tc>
          <w:tcPr>
            <w:tcW w:w="565" w:type="pct"/>
            <w:shd w:val="clear" w:color="auto" w:fill="auto"/>
            <w:vAlign w:val="center"/>
          </w:tcPr>
          <w:p>
            <w:pPr>
              <w:pStyle w:val="178"/>
              <w:rPr>
                <w:color w:val="auto"/>
              </w:rPr>
            </w:pPr>
            <w:r>
              <w:rPr>
                <w:rFonts w:hint="eastAsia"/>
                <w:color w:val="auto"/>
              </w:rPr>
              <w:t>1</w:t>
            </w:r>
            <w:r>
              <w:rPr>
                <w:color w:val="auto"/>
              </w:rPr>
              <w:t>7.0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53" w:type="pct"/>
            <w:shd w:val="clear" w:color="auto" w:fill="auto"/>
            <w:vAlign w:val="center"/>
          </w:tcPr>
          <w:p>
            <w:pPr>
              <w:pStyle w:val="178"/>
              <w:rPr>
                <w:color w:val="auto"/>
              </w:rPr>
            </w:pPr>
            <w:r>
              <w:rPr>
                <w:rFonts w:hint="eastAsia"/>
                <w:color w:val="auto"/>
              </w:rPr>
              <w:t>产奶净能（NE</w:t>
            </w:r>
            <w:r>
              <w:rPr>
                <w:rFonts w:hint="eastAsia"/>
                <w:color w:val="auto"/>
                <w:vertAlign w:val="subscript"/>
              </w:rPr>
              <w:t>L</w:t>
            </w:r>
            <w:r>
              <w:rPr>
                <w:rFonts w:hint="eastAsia"/>
                <w:color w:val="auto"/>
              </w:rPr>
              <w:t>），FU/kg</w:t>
            </w:r>
          </w:p>
        </w:tc>
        <w:tc>
          <w:tcPr>
            <w:tcW w:w="553" w:type="pct"/>
            <w:shd w:val="clear" w:color="auto" w:fill="auto"/>
            <w:vAlign w:val="center"/>
          </w:tcPr>
          <w:p>
            <w:pPr>
              <w:pStyle w:val="178"/>
              <w:rPr>
                <w:color w:val="auto"/>
              </w:rPr>
            </w:pPr>
            <w:r>
              <w:rPr>
                <w:rFonts w:hint="eastAsia"/>
                <w:color w:val="auto"/>
              </w:rPr>
              <w:t>0</w:t>
            </w:r>
            <w:r>
              <w:rPr>
                <w:color w:val="auto"/>
              </w:rPr>
              <w:t>.75</w:t>
            </w:r>
          </w:p>
        </w:tc>
        <w:tc>
          <w:tcPr>
            <w:tcW w:w="553" w:type="pct"/>
            <w:shd w:val="clear" w:color="auto" w:fill="auto"/>
            <w:vAlign w:val="center"/>
          </w:tcPr>
          <w:p>
            <w:pPr>
              <w:pStyle w:val="178"/>
              <w:rPr>
                <w:color w:val="auto"/>
              </w:rPr>
            </w:pPr>
            <w:r>
              <w:rPr>
                <w:rFonts w:hint="eastAsia"/>
                <w:color w:val="auto"/>
              </w:rPr>
              <w:t>0</w:t>
            </w:r>
            <w:r>
              <w:rPr>
                <w:color w:val="auto"/>
              </w:rPr>
              <w:t>.79</w:t>
            </w:r>
          </w:p>
        </w:tc>
        <w:tc>
          <w:tcPr>
            <w:tcW w:w="554" w:type="pct"/>
            <w:shd w:val="clear" w:color="auto" w:fill="auto"/>
            <w:vAlign w:val="center"/>
          </w:tcPr>
          <w:p>
            <w:pPr>
              <w:pStyle w:val="178"/>
              <w:rPr>
                <w:color w:val="auto"/>
              </w:rPr>
            </w:pPr>
            <w:r>
              <w:rPr>
                <w:rFonts w:hint="eastAsia"/>
                <w:color w:val="auto"/>
              </w:rPr>
              <w:t>0</w:t>
            </w:r>
            <w:r>
              <w:rPr>
                <w:color w:val="auto"/>
              </w:rPr>
              <w:t>.82</w:t>
            </w:r>
          </w:p>
        </w:tc>
        <w:tc>
          <w:tcPr>
            <w:tcW w:w="554" w:type="pct"/>
            <w:shd w:val="clear" w:color="auto" w:fill="auto"/>
            <w:vAlign w:val="center"/>
          </w:tcPr>
          <w:p>
            <w:pPr>
              <w:pStyle w:val="178"/>
              <w:rPr>
                <w:color w:val="auto"/>
              </w:rPr>
            </w:pPr>
            <w:r>
              <w:rPr>
                <w:rFonts w:hint="eastAsia"/>
                <w:color w:val="auto"/>
              </w:rPr>
              <w:t>0</w:t>
            </w:r>
            <w:r>
              <w:rPr>
                <w:color w:val="auto"/>
              </w:rPr>
              <w:t>.84</w:t>
            </w:r>
          </w:p>
        </w:tc>
        <w:tc>
          <w:tcPr>
            <w:tcW w:w="554" w:type="pct"/>
            <w:shd w:val="clear" w:color="auto" w:fill="auto"/>
            <w:vAlign w:val="center"/>
          </w:tcPr>
          <w:p>
            <w:pPr>
              <w:pStyle w:val="178"/>
              <w:rPr>
                <w:color w:val="auto"/>
              </w:rPr>
            </w:pPr>
            <w:r>
              <w:rPr>
                <w:rFonts w:hint="eastAsia"/>
                <w:color w:val="auto"/>
              </w:rPr>
              <w:t>0</w:t>
            </w:r>
            <w:r>
              <w:rPr>
                <w:color w:val="auto"/>
              </w:rPr>
              <w:t>.86</w:t>
            </w:r>
          </w:p>
        </w:tc>
        <w:tc>
          <w:tcPr>
            <w:tcW w:w="554" w:type="pct"/>
            <w:shd w:val="clear" w:color="auto" w:fill="auto"/>
            <w:vAlign w:val="center"/>
          </w:tcPr>
          <w:p>
            <w:pPr>
              <w:pStyle w:val="178"/>
              <w:rPr>
                <w:color w:val="auto"/>
              </w:rPr>
            </w:pPr>
            <w:r>
              <w:rPr>
                <w:rFonts w:hint="eastAsia"/>
                <w:color w:val="auto"/>
              </w:rPr>
              <w:t>0</w:t>
            </w:r>
            <w:r>
              <w:rPr>
                <w:color w:val="auto"/>
              </w:rPr>
              <w:t>.88</w:t>
            </w:r>
          </w:p>
        </w:tc>
        <w:tc>
          <w:tcPr>
            <w:tcW w:w="555" w:type="pct"/>
            <w:shd w:val="clear" w:color="auto" w:fill="auto"/>
            <w:vAlign w:val="center"/>
          </w:tcPr>
          <w:p>
            <w:pPr>
              <w:pStyle w:val="178"/>
              <w:rPr>
                <w:color w:val="auto"/>
              </w:rPr>
            </w:pPr>
            <w:r>
              <w:rPr>
                <w:rFonts w:hint="eastAsia"/>
                <w:color w:val="auto"/>
              </w:rPr>
              <w:t>0</w:t>
            </w:r>
            <w:r>
              <w:rPr>
                <w:color w:val="auto"/>
              </w:rPr>
              <w:t>.90</w:t>
            </w:r>
          </w:p>
        </w:tc>
        <w:tc>
          <w:tcPr>
            <w:tcW w:w="565" w:type="pct"/>
            <w:shd w:val="clear" w:color="auto" w:fill="auto"/>
            <w:vAlign w:val="center"/>
          </w:tcPr>
          <w:p>
            <w:pPr>
              <w:pStyle w:val="178"/>
              <w:rPr>
                <w:color w:val="auto"/>
              </w:rPr>
            </w:pPr>
            <w:r>
              <w:rPr>
                <w:rFonts w:hint="eastAsia"/>
                <w:color w:val="auto"/>
              </w:rPr>
              <w:t>0</w:t>
            </w:r>
            <w:r>
              <w:rPr>
                <w:color w:val="auto"/>
              </w:rPr>
              <w:t>.92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53" w:type="pct"/>
            <w:shd w:val="clear" w:color="auto" w:fill="auto"/>
            <w:vAlign w:val="center"/>
          </w:tcPr>
          <w:p>
            <w:pPr>
              <w:pStyle w:val="178"/>
              <w:rPr>
                <w:color w:val="auto"/>
              </w:rPr>
            </w:pPr>
            <w:r>
              <w:rPr>
                <w:rFonts w:hint="eastAsia"/>
                <w:color w:val="auto"/>
              </w:rPr>
              <w:t>粗蛋白，％DM</w:t>
            </w:r>
          </w:p>
        </w:tc>
        <w:tc>
          <w:tcPr>
            <w:tcW w:w="553" w:type="pct"/>
            <w:shd w:val="clear" w:color="auto" w:fill="auto"/>
            <w:vAlign w:val="center"/>
          </w:tcPr>
          <w:p>
            <w:pPr>
              <w:pStyle w:val="178"/>
              <w:rPr>
                <w:color w:val="auto"/>
              </w:rPr>
            </w:pPr>
            <w:r>
              <w:rPr>
                <w:rFonts w:hint="eastAsia"/>
                <w:color w:val="auto"/>
              </w:rPr>
              <w:t>1</w:t>
            </w:r>
            <w:r>
              <w:rPr>
                <w:color w:val="auto"/>
              </w:rPr>
              <w:t>3.0</w:t>
            </w:r>
          </w:p>
        </w:tc>
        <w:tc>
          <w:tcPr>
            <w:tcW w:w="553" w:type="pct"/>
            <w:shd w:val="clear" w:color="auto" w:fill="auto"/>
            <w:vAlign w:val="center"/>
          </w:tcPr>
          <w:p>
            <w:pPr>
              <w:pStyle w:val="178"/>
              <w:rPr>
                <w:color w:val="auto"/>
              </w:rPr>
            </w:pPr>
            <w:r>
              <w:rPr>
                <w:rFonts w:hint="eastAsia"/>
                <w:color w:val="auto"/>
              </w:rPr>
              <w:t>1</w:t>
            </w:r>
            <w:r>
              <w:rPr>
                <w:color w:val="auto"/>
              </w:rPr>
              <w:t>3.9</w:t>
            </w:r>
          </w:p>
        </w:tc>
        <w:tc>
          <w:tcPr>
            <w:tcW w:w="554" w:type="pct"/>
            <w:shd w:val="clear" w:color="auto" w:fill="auto"/>
            <w:vAlign w:val="center"/>
          </w:tcPr>
          <w:p>
            <w:pPr>
              <w:pStyle w:val="178"/>
              <w:rPr>
                <w:color w:val="auto"/>
              </w:rPr>
            </w:pPr>
            <w:r>
              <w:rPr>
                <w:rFonts w:hint="eastAsia"/>
                <w:color w:val="auto"/>
              </w:rPr>
              <w:t>1</w:t>
            </w:r>
            <w:r>
              <w:rPr>
                <w:color w:val="auto"/>
              </w:rPr>
              <w:t>4.3</w:t>
            </w:r>
          </w:p>
        </w:tc>
        <w:tc>
          <w:tcPr>
            <w:tcW w:w="554" w:type="pct"/>
            <w:shd w:val="clear" w:color="auto" w:fill="auto"/>
            <w:vAlign w:val="center"/>
          </w:tcPr>
          <w:p>
            <w:pPr>
              <w:pStyle w:val="178"/>
              <w:rPr>
                <w:color w:val="auto"/>
              </w:rPr>
            </w:pPr>
            <w:r>
              <w:rPr>
                <w:color w:val="auto"/>
              </w:rPr>
              <w:t>14.6</w:t>
            </w:r>
          </w:p>
        </w:tc>
        <w:tc>
          <w:tcPr>
            <w:tcW w:w="554" w:type="pct"/>
            <w:shd w:val="clear" w:color="auto" w:fill="auto"/>
            <w:vAlign w:val="center"/>
          </w:tcPr>
          <w:p>
            <w:pPr>
              <w:pStyle w:val="178"/>
              <w:rPr>
                <w:color w:val="auto"/>
              </w:rPr>
            </w:pPr>
            <w:r>
              <w:rPr>
                <w:rFonts w:hint="eastAsia"/>
                <w:color w:val="auto"/>
              </w:rPr>
              <w:t>1</w:t>
            </w:r>
            <w:r>
              <w:rPr>
                <w:color w:val="auto"/>
              </w:rPr>
              <w:t>5.0</w:t>
            </w:r>
          </w:p>
        </w:tc>
        <w:tc>
          <w:tcPr>
            <w:tcW w:w="554" w:type="pct"/>
            <w:shd w:val="clear" w:color="auto" w:fill="auto"/>
            <w:vAlign w:val="center"/>
          </w:tcPr>
          <w:p>
            <w:pPr>
              <w:pStyle w:val="178"/>
              <w:rPr>
                <w:color w:val="auto"/>
              </w:rPr>
            </w:pPr>
            <w:r>
              <w:rPr>
                <w:rFonts w:hint="eastAsia"/>
                <w:color w:val="auto"/>
              </w:rPr>
              <w:t>1</w:t>
            </w:r>
            <w:r>
              <w:rPr>
                <w:color w:val="auto"/>
              </w:rPr>
              <w:t>5.3</w:t>
            </w:r>
          </w:p>
        </w:tc>
        <w:tc>
          <w:tcPr>
            <w:tcW w:w="555" w:type="pct"/>
            <w:shd w:val="clear" w:color="auto" w:fill="auto"/>
            <w:vAlign w:val="center"/>
          </w:tcPr>
          <w:p>
            <w:pPr>
              <w:pStyle w:val="178"/>
              <w:rPr>
                <w:color w:val="auto"/>
              </w:rPr>
            </w:pPr>
            <w:r>
              <w:rPr>
                <w:rFonts w:hint="eastAsia"/>
                <w:color w:val="auto"/>
              </w:rPr>
              <w:t>1</w:t>
            </w:r>
            <w:r>
              <w:rPr>
                <w:color w:val="auto"/>
              </w:rPr>
              <w:t>5.6</w:t>
            </w:r>
          </w:p>
        </w:tc>
        <w:tc>
          <w:tcPr>
            <w:tcW w:w="565" w:type="pct"/>
            <w:shd w:val="clear" w:color="auto" w:fill="auto"/>
            <w:vAlign w:val="center"/>
          </w:tcPr>
          <w:p>
            <w:pPr>
              <w:pStyle w:val="178"/>
              <w:rPr>
                <w:color w:val="auto"/>
              </w:rPr>
            </w:pPr>
            <w:r>
              <w:rPr>
                <w:rFonts w:hint="eastAsia"/>
                <w:color w:val="auto"/>
              </w:rPr>
              <w:t>1</w:t>
            </w:r>
            <w:r>
              <w:rPr>
                <w:color w:val="auto"/>
              </w:rPr>
              <w:t>5.9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53" w:type="pct"/>
            <w:shd w:val="clear" w:color="auto" w:fill="auto"/>
            <w:vAlign w:val="center"/>
          </w:tcPr>
          <w:p>
            <w:pPr>
              <w:pStyle w:val="178"/>
              <w:jc w:val="both"/>
              <w:rPr>
                <w:color w:val="auto"/>
              </w:rPr>
            </w:pPr>
            <w:r>
              <w:rPr>
                <w:rFonts w:hint="eastAsia"/>
                <w:color w:val="auto"/>
              </w:rPr>
              <w:t>中性洗涤纤维，％DM</w:t>
            </w:r>
          </w:p>
        </w:tc>
        <w:tc>
          <w:tcPr>
            <w:tcW w:w="553" w:type="pct"/>
            <w:shd w:val="clear" w:color="auto" w:fill="auto"/>
            <w:vAlign w:val="center"/>
          </w:tcPr>
          <w:p>
            <w:pPr>
              <w:pStyle w:val="178"/>
              <w:rPr>
                <w:color w:val="auto"/>
              </w:rPr>
            </w:pPr>
            <w:r>
              <w:rPr>
                <w:rFonts w:hint="eastAsia"/>
                <w:color w:val="auto"/>
              </w:rPr>
              <w:t>5</w:t>
            </w:r>
            <w:r>
              <w:rPr>
                <w:color w:val="auto"/>
              </w:rPr>
              <w:t>2.0</w:t>
            </w:r>
          </w:p>
        </w:tc>
        <w:tc>
          <w:tcPr>
            <w:tcW w:w="553" w:type="pct"/>
            <w:shd w:val="clear" w:color="auto" w:fill="auto"/>
            <w:vAlign w:val="center"/>
          </w:tcPr>
          <w:p>
            <w:pPr>
              <w:pStyle w:val="178"/>
              <w:rPr>
                <w:color w:val="auto"/>
              </w:rPr>
            </w:pPr>
            <w:r>
              <w:rPr>
                <w:rFonts w:hint="eastAsia"/>
                <w:color w:val="auto"/>
              </w:rPr>
              <w:t>4</w:t>
            </w:r>
            <w:r>
              <w:rPr>
                <w:color w:val="auto"/>
              </w:rPr>
              <w:t>7.0</w:t>
            </w:r>
          </w:p>
        </w:tc>
        <w:tc>
          <w:tcPr>
            <w:tcW w:w="554" w:type="pct"/>
            <w:shd w:val="clear" w:color="auto" w:fill="auto"/>
            <w:vAlign w:val="center"/>
          </w:tcPr>
          <w:p>
            <w:pPr>
              <w:pStyle w:val="178"/>
              <w:rPr>
                <w:color w:val="auto"/>
              </w:rPr>
            </w:pPr>
            <w:r>
              <w:rPr>
                <w:rFonts w:hint="eastAsia"/>
                <w:color w:val="auto"/>
              </w:rPr>
              <w:t>4</w:t>
            </w:r>
            <w:r>
              <w:rPr>
                <w:color w:val="auto"/>
              </w:rPr>
              <w:t>6.0</w:t>
            </w:r>
          </w:p>
        </w:tc>
        <w:tc>
          <w:tcPr>
            <w:tcW w:w="554" w:type="pct"/>
            <w:shd w:val="clear" w:color="auto" w:fill="auto"/>
            <w:vAlign w:val="center"/>
          </w:tcPr>
          <w:p>
            <w:pPr>
              <w:pStyle w:val="178"/>
              <w:rPr>
                <w:color w:val="auto"/>
              </w:rPr>
            </w:pPr>
            <w:r>
              <w:rPr>
                <w:rFonts w:hint="eastAsia"/>
                <w:color w:val="auto"/>
              </w:rPr>
              <w:t>4</w:t>
            </w:r>
            <w:r>
              <w:rPr>
                <w:color w:val="auto"/>
              </w:rPr>
              <w:t>4.0</w:t>
            </w:r>
          </w:p>
        </w:tc>
        <w:tc>
          <w:tcPr>
            <w:tcW w:w="554" w:type="pct"/>
            <w:shd w:val="clear" w:color="auto" w:fill="auto"/>
            <w:vAlign w:val="center"/>
          </w:tcPr>
          <w:p>
            <w:pPr>
              <w:pStyle w:val="178"/>
              <w:rPr>
                <w:color w:val="auto"/>
              </w:rPr>
            </w:pPr>
            <w:r>
              <w:rPr>
                <w:rFonts w:hint="eastAsia"/>
                <w:color w:val="auto"/>
              </w:rPr>
              <w:t>4</w:t>
            </w:r>
            <w:r>
              <w:rPr>
                <w:color w:val="auto"/>
              </w:rPr>
              <w:t>3.0</w:t>
            </w:r>
          </w:p>
        </w:tc>
        <w:tc>
          <w:tcPr>
            <w:tcW w:w="554" w:type="pct"/>
            <w:shd w:val="clear" w:color="auto" w:fill="auto"/>
            <w:vAlign w:val="center"/>
          </w:tcPr>
          <w:p>
            <w:pPr>
              <w:pStyle w:val="178"/>
              <w:rPr>
                <w:color w:val="auto"/>
              </w:rPr>
            </w:pPr>
            <w:r>
              <w:rPr>
                <w:rFonts w:hint="eastAsia"/>
                <w:color w:val="auto"/>
              </w:rPr>
              <w:t>4</w:t>
            </w:r>
            <w:r>
              <w:rPr>
                <w:color w:val="auto"/>
              </w:rPr>
              <w:t>2.0</w:t>
            </w:r>
          </w:p>
        </w:tc>
        <w:tc>
          <w:tcPr>
            <w:tcW w:w="555" w:type="pct"/>
            <w:shd w:val="clear" w:color="auto" w:fill="auto"/>
            <w:vAlign w:val="center"/>
          </w:tcPr>
          <w:p>
            <w:pPr>
              <w:pStyle w:val="178"/>
              <w:rPr>
                <w:color w:val="auto"/>
              </w:rPr>
            </w:pPr>
            <w:r>
              <w:rPr>
                <w:rFonts w:hint="eastAsia"/>
                <w:color w:val="auto"/>
              </w:rPr>
              <w:t>4</w:t>
            </w:r>
            <w:r>
              <w:rPr>
                <w:color w:val="auto"/>
              </w:rPr>
              <w:t>0.0</w:t>
            </w:r>
          </w:p>
        </w:tc>
        <w:tc>
          <w:tcPr>
            <w:tcW w:w="565" w:type="pct"/>
            <w:shd w:val="clear" w:color="auto" w:fill="auto"/>
            <w:vAlign w:val="center"/>
          </w:tcPr>
          <w:p>
            <w:pPr>
              <w:pStyle w:val="178"/>
              <w:rPr>
                <w:color w:val="auto"/>
              </w:rPr>
            </w:pPr>
            <w:r>
              <w:rPr>
                <w:rFonts w:hint="eastAsia"/>
                <w:color w:val="auto"/>
              </w:rPr>
              <w:t>3</w:t>
            </w:r>
            <w:r>
              <w:rPr>
                <w:color w:val="auto"/>
              </w:rPr>
              <w:t>9.0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53" w:type="pct"/>
            <w:shd w:val="clear" w:color="auto" w:fill="auto"/>
            <w:vAlign w:val="center"/>
          </w:tcPr>
          <w:p>
            <w:pPr>
              <w:pStyle w:val="178"/>
              <w:rPr>
                <w:color w:val="auto"/>
              </w:rPr>
            </w:pPr>
            <w:r>
              <w:rPr>
                <w:rFonts w:hint="eastAsia"/>
                <w:color w:val="auto"/>
              </w:rPr>
              <w:t>非结构性碳水化合物，％DM</w:t>
            </w:r>
          </w:p>
        </w:tc>
        <w:tc>
          <w:tcPr>
            <w:tcW w:w="553" w:type="pct"/>
            <w:shd w:val="clear" w:color="auto" w:fill="auto"/>
            <w:vAlign w:val="center"/>
          </w:tcPr>
          <w:p>
            <w:pPr>
              <w:pStyle w:val="178"/>
              <w:rPr>
                <w:color w:val="auto"/>
              </w:rPr>
            </w:pPr>
            <w:r>
              <w:rPr>
                <w:rFonts w:hint="eastAsia"/>
                <w:color w:val="auto"/>
              </w:rPr>
              <w:t>2</w:t>
            </w:r>
            <w:r>
              <w:rPr>
                <w:color w:val="auto"/>
              </w:rPr>
              <w:t>5.0</w:t>
            </w:r>
          </w:p>
        </w:tc>
        <w:tc>
          <w:tcPr>
            <w:tcW w:w="553" w:type="pct"/>
            <w:shd w:val="clear" w:color="auto" w:fill="auto"/>
            <w:vAlign w:val="center"/>
          </w:tcPr>
          <w:p>
            <w:pPr>
              <w:pStyle w:val="178"/>
              <w:rPr>
                <w:color w:val="auto"/>
              </w:rPr>
            </w:pPr>
            <w:r>
              <w:rPr>
                <w:rFonts w:hint="eastAsia"/>
                <w:color w:val="auto"/>
              </w:rPr>
              <w:t>2</w:t>
            </w:r>
            <w:r>
              <w:rPr>
                <w:color w:val="auto"/>
              </w:rPr>
              <w:t>7.0</w:t>
            </w:r>
          </w:p>
        </w:tc>
        <w:tc>
          <w:tcPr>
            <w:tcW w:w="554" w:type="pct"/>
            <w:shd w:val="clear" w:color="auto" w:fill="auto"/>
            <w:vAlign w:val="center"/>
          </w:tcPr>
          <w:p>
            <w:pPr>
              <w:pStyle w:val="178"/>
              <w:rPr>
                <w:color w:val="auto"/>
              </w:rPr>
            </w:pPr>
            <w:r>
              <w:rPr>
                <w:rFonts w:hint="eastAsia"/>
                <w:color w:val="auto"/>
              </w:rPr>
              <w:t>2</w:t>
            </w:r>
            <w:r>
              <w:rPr>
                <w:color w:val="auto"/>
              </w:rPr>
              <w:t>8.0</w:t>
            </w:r>
          </w:p>
        </w:tc>
        <w:tc>
          <w:tcPr>
            <w:tcW w:w="554" w:type="pct"/>
            <w:shd w:val="clear" w:color="auto" w:fill="auto"/>
            <w:vAlign w:val="center"/>
          </w:tcPr>
          <w:p>
            <w:pPr>
              <w:pStyle w:val="178"/>
              <w:rPr>
                <w:color w:val="auto"/>
              </w:rPr>
            </w:pPr>
            <w:r>
              <w:rPr>
                <w:rFonts w:hint="eastAsia"/>
                <w:color w:val="auto"/>
              </w:rPr>
              <w:t>2</w:t>
            </w:r>
            <w:r>
              <w:rPr>
                <w:color w:val="auto"/>
              </w:rPr>
              <w:t>9.0</w:t>
            </w:r>
          </w:p>
        </w:tc>
        <w:tc>
          <w:tcPr>
            <w:tcW w:w="554" w:type="pct"/>
            <w:shd w:val="clear" w:color="auto" w:fill="auto"/>
            <w:vAlign w:val="center"/>
          </w:tcPr>
          <w:p>
            <w:pPr>
              <w:pStyle w:val="178"/>
              <w:rPr>
                <w:color w:val="auto"/>
              </w:rPr>
            </w:pPr>
            <w:r>
              <w:rPr>
                <w:rFonts w:hint="eastAsia"/>
                <w:color w:val="auto"/>
              </w:rPr>
              <w:t>3</w:t>
            </w:r>
            <w:r>
              <w:rPr>
                <w:color w:val="auto"/>
              </w:rPr>
              <w:t>0.0</w:t>
            </w:r>
          </w:p>
        </w:tc>
        <w:tc>
          <w:tcPr>
            <w:tcW w:w="554" w:type="pct"/>
            <w:shd w:val="clear" w:color="auto" w:fill="auto"/>
            <w:vAlign w:val="center"/>
          </w:tcPr>
          <w:p>
            <w:pPr>
              <w:pStyle w:val="178"/>
              <w:rPr>
                <w:color w:val="auto"/>
              </w:rPr>
            </w:pPr>
            <w:r>
              <w:rPr>
                <w:rFonts w:hint="eastAsia"/>
                <w:color w:val="auto"/>
              </w:rPr>
              <w:t>3</w:t>
            </w:r>
            <w:r>
              <w:rPr>
                <w:color w:val="auto"/>
              </w:rPr>
              <w:t>0.0</w:t>
            </w:r>
          </w:p>
        </w:tc>
        <w:tc>
          <w:tcPr>
            <w:tcW w:w="555" w:type="pct"/>
            <w:shd w:val="clear" w:color="auto" w:fill="auto"/>
            <w:vAlign w:val="center"/>
          </w:tcPr>
          <w:p>
            <w:pPr>
              <w:pStyle w:val="178"/>
              <w:rPr>
                <w:color w:val="auto"/>
              </w:rPr>
            </w:pPr>
            <w:r>
              <w:rPr>
                <w:rFonts w:hint="eastAsia"/>
                <w:color w:val="auto"/>
              </w:rPr>
              <w:t>3</w:t>
            </w:r>
            <w:r>
              <w:rPr>
                <w:color w:val="auto"/>
              </w:rPr>
              <w:t>1.0</w:t>
            </w:r>
          </w:p>
        </w:tc>
        <w:tc>
          <w:tcPr>
            <w:tcW w:w="565" w:type="pct"/>
            <w:shd w:val="clear" w:color="auto" w:fill="auto"/>
            <w:vAlign w:val="center"/>
          </w:tcPr>
          <w:p>
            <w:pPr>
              <w:pStyle w:val="178"/>
              <w:rPr>
                <w:color w:val="auto"/>
              </w:rPr>
            </w:pPr>
            <w:r>
              <w:rPr>
                <w:rFonts w:hint="eastAsia"/>
                <w:color w:val="auto"/>
              </w:rPr>
              <w:t>3</w:t>
            </w:r>
            <w:r>
              <w:rPr>
                <w:color w:val="auto"/>
              </w:rPr>
              <w:t>2.0</w:t>
            </w:r>
          </w:p>
        </w:tc>
      </w:tr>
    </w:tbl>
    <w:p>
      <w:pPr>
        <w:pStyle w:val="105"/>
        <w:spacing w:before="156" w:after="156"/>
        <w:rPr>
          <w:color w:val="auto"/>
        </w:rPr>
      </w:pPr>
      <w:r>
        <w:rPr>
          <w:rFonts w:hint="eastAsia"/>
          <w:color w:val="auto"/>
        </w:rPr>
        <w:t>兽药</w:t>
      </w:r>
    </w:p>
    <w:p>
      <w:pPr>
        <w:pStyle w:val="165"/>
        <w:rPr>
          <w:color w:val="auto"/>
        </w:rPr>
      </w:pPr>
      <w:r>
        <w:rPr>
          <w:rFonts w:hint="eastAsia"/>
          <w:color w:val="auto"/>
        </w:rPr>
        <w:t>兽药使用应符合NY/T 472的规定。</w:t>
      </w:r>
    </w:p>
    <w:p>
      <w:pPr>
        <w:pStyle w:val="165"/>
        <w:rPr>
          <w:color w:val="auto"/>
        </w:rPr>
      </w:pPr>
      <w:r>
        <w:rPr>
          <w:rFonts w:hint="eastAsia"/>
          <w:color w:val="auto"/>
        </w:rPr>
        <w:t>使用时按照产品说明操作，处方药按照兽药出具的处方执行。</w:t>
      </w:r>
    </w:p>
    <w:p>
      <w:pPr>
        <w:pStyle w:val="165"/>
        <w:rPr>
          <w:color w:val="auto"/>
        </w:rPr>
      </w:pPr>
      <w:r>
        <w:rPr>
          <w:rFonts w:hint="eastAsia"/>
          <w:color w:val="auto"/>
        </w:rPr>
        <w:t>兽药按照药品说明书要求进行储藏，过期药物及时销毁处理。</w:t>
      </w:r>
    </w:p>
    <w:p>
      <w:pPr>
        <w:pStyle w:val="104"/>
        <w:spacing w:before="312" w:after="312"/>
        <w:rPr>
          <w:color w:val="auto"/>
        </w:rPr>
      </w:pPr>
      <w:r>
        <w:rPr>
          <w:rFonts w:hint="eastAsia"/>
          <w:color w:val="auto"/>
        </w:rPr>
        <w:t>饲养管理</w:t>
      </w:r>
    </w:p>
    <w:p>
      <w:pPr>
        <w:pStyle w:val="105"/>
        <w:spacing w:before="156" w:after="156"/>
        <w:rPr>
          <w:color w:val="auto"/>
        </w:rPr>
      </w:pPr>
      <w:r>
        <w:rPr>
          <w:rFonts w:hint="eastAsia"/>
          <w:color w:val="auto"/>
        </w:rPr>
        <w:t>日粮投喂</w:t>
      </w:r>
    </w:p>
    <w:p>
      <w:pPr>
        <w:pStyle w:val="165"/>
        <w:rPr>
          <w:color w:val="auto"/>
        </w:rPr>
      </w:pPr>
      <w:r>
        <w:rPr>
          <w:rFonts w:hint="eastAsia"/>
          <w:color w:val="auto"/>
        </w:rPr>
        <w:t>泌乳早期（分娩</w:t>
      </w:r>
      <w:r>
        <w:rPr>
          <w:rFonts w:ascii="Times New Roman"/>
          <w:color w:val="auto"/>
        </w:rPr>
        <w:t>～</w:t>
      </w:r>
      <w:r>
        <w:rPr>
          <w:color w:val="auto"/>
        </w:rPr>
        <w:t>15</w:t>
      </w:r>
      <w:r>
        <w:rPr>
          <w:color w:val="auto"/>
          <w:vertAlign w:val="superscript"/>
        </w:rPr>
        <w:t xml:space="preserve"> </w:t>
      </w:r>
      <w:r>
        <w:rPr>
          <w:rFonts w:hint="eastAsia"/>
          <w:color w:val="auto"/>
        </w:rPr>
        <w:t>d）按以下要求投喂：</w:t>
      </w:r>
    </w:p>
    <w:p>
      <w:pPr>
        <w:pStyle w:val="174"/>
        <w:numPr>
          <w:ilvl w:val="0"/>
          <w:numId w:val="34"/>
        </w:numPr>
        <w:rPr>
          <w:color w:val="auto"/>
        </w:rPr>
      </w:pPr>
      <w:r>
        <w:rPr>
          <w:rFonts w:hint="eastAsia"/>
          <w:color w:val="auto"/>
        </w:rPr>
        <w:t>分娩后1</w:t>
      </w:r>
      <w:r>
        <w:rPr>
          <w:color w:val="auto"/>
          <w:vertAlign w:val="superscript"/>
        </w:rPr>
        <w:t xml:space="preserve"> </w:t>
      </w:r>
      <w:r>
        <w:rPr>
          <w:rFonts w:hint="eastAsia"/>
          <w:color w:val="auto"/>
        </w:rPr>
        <w:t>h内灌服温热、足量的补充液(麸皮1</w:t>
      </w:r>
      <w:r>
        <w:rPr>
          <w:color w:val="auto"/>
        </w:rPr>
        <w:t>2</w:t>
      </w:r>
      <w:r>
        <w:rPr>
          <w:color w:val="auto"/>
          <w:vertAlign w:val="superscript"/>
        </w:rPr>
        <w:t xml:space="preserve"> </w:t>
      </w:r>
      <w:r>
        <w:rPr>
          <w:rFonts w:hint="eastAsia"/>
          <w:color w:val="auto"/>
        </w:rPr>
        <w:t>kg，盐1</w:t>
      </w:r>
      <w:r>
        <w:rPr>
          <w:color w:val="auto"/>
        </w:rPr>
        <w:t>00</w:t>
      </w:r>
      <w:r>
        <w:rPr>
          <w:color w:val="auto"/>
          <w:vertAlign w:val="superscript"/>
        </w:rPr>
        <w:t xml:space="preserve"> </w:t>
      </w:r>
      <w:r>
        <w:rPr>
          <w:color w:val="auto"/>
        </w:rPr>
        <w:t>g</w:t>
      </w:r>
      <w:r>
        <w:rPr>
          <w:rFonts w:ascii="Times New Roman"/>
          <w:color w:val="auto"/>
        </w:rPr>
        <w:t>～</w:t>
      </w:r>
      <w:r>
        <w:rPr>
          <w:color w:val="auto"/>
        </w:rPr>
        <w:t>150</w:t>
      </w:r>
      <w:r>
        <w:rPr>
          <w:color w:val="auto"/>
          <w:vertAlign w:val="superscript"/>
        </w:rPr>
        <w:t xml:space="preserve"> </w:t>
      </w:r>
      <w:r>
        <w:rPr>
          <w:rFonts w:hint="eastAsia"/>
          <w:color w:val="auto"/>
        </w:rPr>
        <w:t>g，水1</w:t>
      </w:r>
      <w:r>
        <w:rPr>
          <w:color w:val="auto"/>
        </w:rPr>
        <w:t>0</w:t>
      </w:r>
      <w:r>
        <w:rPr>
          <w:color w:val="auto"/>
          <w:vertAlign w:val="superscript"/>
        </w:rPr>
        <w:t xml:space="preserve"> </w:t>
      </w:r>
      <w:r>
        <w:rPr>
          <w:rFonts w:hint="eastAsia"/>
          <w:color w:val="auto"/>
        </w:rPr>
        <w:t>kg</w:t>
      </w:r>
      <w:r>
        <w:rPr>
          <w:color w:val="auto"/>
        </w:rPr>
        <w:t>)</w:t>
      </w:r>
      <w:r>
        <w:rPr>
          <w:rFonts w:hint="eastAsia"/>
          <w:color w:val="auto"/>
        </w:rPr>
        <w:t>，饲喂专用日粮，自由采食；</w:t>
      </w:r>
    </w:p>
    <w:p>
      <w:pPr>
        <w:pStyle w:val="174"/>
        <w:rPr>
          <w:color w:val="auto"/>
        </w:rPr>
      </w:pPr>
      <w:r>
        <w:rPr>
          <w:rFonts w:hint="eastAsia"/>
          <w:color w:val="auto"/>
        </w:rPr>
        <w:t>母牛产后1</w:t>
      </w:r>
      <w:r>
        <w:rPr>
          <w:color w:val="auto"/>
          <w:vertAlign w:val="superscript"/>
        </w:rPr>
        <w:t xml:space="preserve"> </w:t>
      </w:r>
      <w:r>
        <w:rPr>
          <w:color w:val="auto"/>
        </w:rPr>
        <w:t>d</w:t>
      </w:r>
      <w:r>
        <w:rPr>
          <w:rFonts w:ascii="Times New Roman"/>
          <w:color w:val="auto"/>
        </w:rPr>
        <w:t>～</w:t>
      </w:r>
      <w:r>
        <w:rPr>
          <w:color w:val="auto"/>
        </w:rPr>
        <w:t>3</w:t>
      </w:r>
      <w:r>
        <w:rPr>
          <w:color w:val="auto"/>
          <w:vertAlign w:val="superscript"/>
        </w:rPr>
        <w:t xml:space="preserve"> </w:t>
      </w:r>
      <w:r>
        <w:rPr>
          <w:color w:val="auto"/>
        </w:rPr>
        <w:t>d</w:t>
      </w:r>
      <w:r>
        <w:rPr>
          <w:rFonts w:hint="eastAsia"/>
          <w:color w:val="auto"/>
        </w:rPr>
        <w:t>应饲喂足量适口易消化的优质干草为主，辅以优质精料及少量青贮料等，并适当增加日粮钙的水平；</w:t>
      </w:r>
    </w:p>
    <w:p>
      <w:pPr>
        <w:pStyle w:val="174"/>
        <w:rPr>
          <w:color w:val="auto"/>
        </w:rPr>
      </w:pPr>
      <w:r>
        <w:rPr>
          <w:rFonts w:hint="eastAsia"/>
          <w:color w:val="auto"/>
        </w:rPr>
        <w:t>分娩4</w:t>
      </w:r>
      <w:r>
        <w:rPr>
          <w:color w:val="auto"/>
          <w:vertAlign w:val="superscript"/>
        </w:rPr>
        <w:t xml:space="preserve"> </w:t>
      </w:r>
      <w:r>
        <w:rPr>
          <w:rFonts w:hint="eastAsia"/>
          <w:color w:val="auto"/>
        </w:rPr>
        <w:t>d后逐步增加精料、多汁饲料、青草及青贮饲料，精料每日增加0.</w:t>
      </w:r>
      <w:r>
        <w:rPr>
          <w:color w:val="auto"/>
        </w:rPr>
        <w:t>5</w:t>
      </w:r>
      <w:r>
        <w:rPr>
          <w:color w:val="auto"/>
          <w:vertAlign w:val="superscript"/>
        </w:rPr>
        <w:t xml:space="preserve"> </w:t>
      </w:r>
      <w:r>
        <w:rPr>
          <w:rFonts w:hint="eastAsia"/>
          <w:color w:val="auto"/>
        </w:rPr>
        <w:t>kg左右，产后第7</w:t>
      </w:r>
      <w:r>
        <w:rPr>
          <w:color w:val="auto"/>
          <w:vertAlign w:val="superscript"/>
        </w:rPr>
        <w:t xml:space="preserve"> </w:t>
      </w:r>
      <w:r>
        <w:rPr>
          <w:rFonts w:hint="eastAsia"/>
          <w:color w:val="auto"/>
        </w:rPr>
        <w:t>d</w:t>
      </w:r>
      <w:r>
        <w:rPr>
          <w:rFonts w:ascii="Times New Roman"/>
          <w:color w:val="auto"/>
        </w:rPr>
        <w:t>～</w:t>
      </w:r>
      <w:r>
        <w:rPr>
          <w:color w:val="auto"/>
        </w:rPr>
        <w:t>10</w:t>
      </w:r>
      <w:r>
        <w:rPr>
          <w:color w:val="auto"/>
          <w:vertAlign w:val="superscript"/>
        </w:rPr>
        <w:t xml:space="preserve"> </w:t>
      </w:r>
      <w:r>
        <w:rPr>
          <w:rFonts w:hint="eastAsia"/>
          <w:color w:val="auto"/>
        </w:rPr>
        <w:t>d达到泌乳牛日粮标准量，日粮粗蛋白水平1</w:t>
      </w:r>
      <w:r>
        <w:rPr>
          <w:color w:val="auto"/>
        </w:rPr>
        <w:t>7</w:t>
      </w:r>
      <w:r>
        <w:rPr>
          <w:rFonts w:hint="eastAsia"/>
          <w:color w:val="auto"/>
        </w:rPr>
        <w:t>.</w:t>
      </w:r>
      <w:r>
        <w:rPr>
          <w:color w:val="auto"/>
        </w:rPr>
        <w:t>5</w:t>
      </w:r>
      <w:r>
        <w:rPr>
          <w:rFonts w:hint="eastAsia"/>
          <w:color w:val="auto"/>
        </w:rPr>
        <w:t>％左右；</w:t>
      </w:r>
    </w:p>
    <w:p>
      <w:pPr>
        <w:pStyle w:val="174"/>
        <w:rPr>
          <w:color w:val="auto"/>
        </w:rPr>
      </w:pPr>
      <w:r>
        <w:rPr>
          <w:rFonts w:hint="eastAsia"/>
          <w:color w:val="auto"/>
        </w:rPr>
        <w:t>产后1</w:t>
      </w:r>
      <w:r>
        <w:rPr>
          <w:color w:val="auto"/>
        </w:rPr>
        <w:t>5</w:t>
      </w:r>
      <w:r>
        <w:rPr>
          <w:color w:val="auto"/>
          <w:vertAlign w:val="superscript"/>
        </w:rPr>
        <w:t xml:space="preserve"> </w:t>
      </w:r>
      <w:r>
        <w:rPr>
          <w:rFonts w:hint="eastAsia"/>
          <w:color w:val="auto"/>
        </w:rPr>
        <w:t>d内需补充充足的钙、磷和维生素D，分娩1</w:t>
      </w:r>
      <w:r>
        <w:rPr>
          <w:color w:val="auto"/>
        </w:rPr>
        <w:t>0</w:t>
      </w:r>
      <w:r>
        <w:rPr>
          <w:color w:val="auto"/>
          <w:vertAlign w:val="superscript"/>
        </w:rPr>
        <w:t xml:space="preserve"> </w:t>
      </w:r>
      <w:r>
        <w:rPr>
          <w:rFonts w:hint="eastAsia"/>
          <w:color w:val="auto"/>
        </w:rPr>
        <w:t>d后每头牛每天的钙、磷饲喂量分别不低于1</w:t>
      </w:r>
      <w:r>
        <w:rPr>
          <w:color w:val="auto"/>
        </w:rPr>
        <w:t>50</w:t>
      </w:r>
      <w:r>
        <w:rPr>
          <w:color w:val="auto"/>
          <w:vertAlign w:val="superscript"/>
        </w:rPr>
        <w:t xml:space="preserve"> </w:t>
      </w:r>
      <w:r>
        <w:rPr>
          <w:rFonts w:hint="eastAsia"/>
          <w:color w:val="auto"/>
        </w:rPr>
        <w:t>g、1</w:t>
      </w:r>
      <w:r>
        <w:rPr>
          <w:color w:val="auto"/>
        </w:rPr>
        <w:t>00</w:t>
      </w:r>
      <w:r>
        <w:rPr>
          <w:color w:val="auto"/>
          <w:vertAlign w:val="superscript"/>
        </w:rPr>
        <w:t xml:space="preserve"> </w:t>
      </w:r>
      <w:r>
        <w:rPr>
          <w:rFonts w:hint="eastAsia"/>
          <w:color w:val="auto"/>
        </w:rPr>
        <w:t>g。</w:t>
      </w:r>
    </w:p>
    <w:p>
      <w:pPr>
        <w:pStyle w:val="165"/>
        <w:rPr>
          <w:color w:val="auto"/>
        </w:rPr>
      </w:pPr>
      <w:r>
        <w:rPr>
          <w:rFonts w:hint="eastAsia"/>
          <w:color w:val="auto"/>
        </w:rPr>
        <w:t>泌乳前期（1</w:t>
      </w:r>
      <w:r>
        <w:rPr>
          <w:color w:val="auto"/>
        </w:rPr>
        <w:t>5</w:t>
      </w:r>
      <w:r>
        <w:rPr>
          <w:color w:val="auto"/>
          <w:vertAlign w:val="superscript"/>
        </w:rPr>
        <w:t xml:space="preserve"> </w:t>
      </w:r>
      <w:r>
        <w:rPr>
          <w:rFonts w:hint="eastAsia"/>
          <w:color w:val="auto"/>
        </w:rPr>
        <w:t>d</w:t>
      </w:r>
      <w:r>
        <w:rPr>
          <w:rFonts w:ascii="Times New Roman"/>
          <w:color w:val="auto"/>
        </w:rPr>
        <w:t>～</w:t>
      </w:r>
      <w:r>
        <w:rPr>
          <w:color w:val="auto"/>
        </w:rPr>
        <w:t>90</w:t>
      </w:r>
      <w:r>
        <w:rPr>
          <w:color w:val="auto"/>
          <w:vertAlign w:val="superscript"/>
        </w:rPr>
        <w:t xml:space="preserve"> </w:t>
      </w:r>
      <w:r>
        <w:rPr>
          <w:rFonts w:hint="eastAsia"/>
          <w:color w:val="auto"/>
        </w:rPr>
        <w:t>d）按以下</w:t>
      </w:r>
      <w:r>
        <w:rPr>
          <w:color w:val="auto"/>
        </w:rPr>
        <w:t>要求投喂：</w:t>
      </w:r>
    </w:p>
    <w:p>
      <w:pPr>
        <w:pStyle w:val="174"/>
        <w:numPr>
          <w:ilvl w:val="0"/>
          <w:numId w:val="35"/>
        </w:numPr>
        <w:rPr>
          <w:color w:val="auto"/>
        </w:rPr>
      </w:pPr>
      <w:r>
        <w:rPr>
          <w:rFonts w:hint="eastAsia"/>
          <w:color w:val="auto"/>
        </w:rPr>
        <w:t>精料要求高能量高蛋白，根据奶量和奶牛体况增加精料饲喂量，尽早提高干物质采食量，粗饲料要求优质干草和青贮饲料，精粗比不宜超过</w:t>
      </w:r>
      <w:r>
        <w:rPr>
          <w:color w:val="auto"/>
        </w:rPr>
        <w:t>60</w:t>
      </w:r>
      <w:r>
        <w:rPr>
          <w:rFonts w:hint="eastAsia"/>
          <w:color w:val="auto"/>
        </w:rPr>
        <w:t>:4</w:t>
      </w:r>
      <w:r>
        <w:rPr>
          <w:color w:val="auto"/>
        </w:rPr>
        <w:t>0</w:t>
      </w:r>
      <w:r>
        <w:rPr>
          <w:rFonts w:hint="eastAsia"/>
          <w:color w:val="auto"/>
        </w:rPr>
        <w:t>；</w:t>
      </w:r>
    </w:p>
    <w:p>
      <w:pPr>
        <w:pStyle w:val="174"/>
        <w:rPr>
          <w:color w:val="auto"/>
        </w:rPr>
      </w:pPr>
      <w:r>
        <w:rPr>
          <w:rFonts w:hint="eastAsia"/>
          <w:color w:val="auto"/>
        </w:rPr>
        <w:t>粗纤维1</w:t>
      </w:r>
      <w:r>
        <w:rPr>
          <w:color w:val="auto"/>
        </w:rPr>
        <w:t>8</w:t>
      </w:r>
      <w:r>
        <w:rPr>
          <w:rFonts w:hint="eastAsia"/>
          <w:color w:val="auto"/>
        </w:rPr>
        <w:t>％</w:t>
      </w:r>
      <w:r>
        <w:rPr>
          <w:rFonts w:ascii="Times New Roman"/>
          <w:color w:val="auto"/>
        </w:rPr>
        <w:t>～</w:t>
      </w:r>
      <w:r>
        <w:rPr>
          <w:color w:val="auto"/>
        </w:rPr>
        <w:t>24</w:t>
      </w:r>
      <w:r>
        <w:rPr>
          <w:rFonts w:hint="eastAsia"/>
          <w:color w:val="auto"/>
        </w:rPr>
        <w:t>％，粗蛋白1</w:t>
      </w:r>
      <w:r>
        <w:rPr>
          <w:color w:val="auto"/>
        </w:rPr>
        <w:t>5</w:t>
      </w:r>
      <w:r>
        <w:rPr>
          <w:rFonts w:hint="eastAsia"/>
          <w:color w:val="auto"/>
        </w:rPr>
        <w:t>％，粗脂肪2％，钙0.</w:t>
      </w:r>
      <w:r>
        <w:rPr>
          <w:color w:val="auto"/>
        </w:rPr>
        <w:t>6</w:t>
      </w:r>
      <w:r>
        <w:rPr>
          <w:rFonts w:hint="eastAsia"/>
          <w:color w:val="auto"/>
        </w:rPr>
        <w:t>％，磷0.</w:t>
      </w:r>
      <w:r>
        <w:rPr>
          <w:color w:val="auto"/>
        </w:rPr>
        <w:t>45</w:t>
      </w:r>
      <w:r>
        <w:rPr>
          <w:rFonts w:hint="eastAsia"/>
          <w:color w:val="auto"/>
        </w:rPr>
        <w:t>％，钙磷比1.</w:t>
      </w:r>
      <w:r>
        <w:rPr>
          <w:color w:val="auto"/>
        </w:rPr>
        <w:t>5</w:t>
      </w:r>
      <w:r>
        <w:rPr>
          <w:rFonts w:ascii="Times New Roman"/>
          <w:color w:val="auto"/>
        </w:rPr>
        <w:t>～</w:t>
      </w:r>
      <w:r>
        <w:rPr>
          <w:color w:val="auto"/>
        </w:rPr>
        <w:t>2</w:t>
      </w:r>
      <w:r>
        <w:rPr>
          <w:rFonts w:hint="eastAsia"/>
          <w:color w:val="auto"/>
        </w:rPr>
        <w:t>；</w:t>
      </w:r>
    </w:p>
    <w:p>
      <w:pPr>
        <w:pStyle w:val="174"/>
        <w:rPr>
          <w:color w:val="auto"/>
        </w:rPr>
      </w:pPr>
      <w:r>
        <w:rPr>
          <w:rFonts w:hint="eastAsia"/>
          <w:color w:val="auto"/>
        </w:rPr>
        <w:t>高产奶牛应注意补充维生素及微量元素，宜在产后6</w:t>
      </w:r>
      <w:r>
        <w:rPr>
          <w:color w:val="auto"/>
        </w:rPr>
        <w:t>0</w:t>
      </w:r>
      <w:r>
        <w:rPr>
          <w:color w:val="auto"/>
          <w:vertAlign w:val="superscript"/>
        </w:rPr>
        <w:t xml:space="preserve"> </w:t>
      </w:r>
      <w:r>
        <w:rPr>
          <w:color w:val="auto"/>
        </w:rPr>
        <w:t>d</w:t>
      </w:r>
      <w:r>
        <w:rPr>
          <w:rFonts w:ascii="Times New Roman"/>
          <w:color w:val="auto"/>
        </w:rPr>
        <w:t>～</w:t>
      </w:r>
      <w:r>
        <w:rPr>
          <w:color w:val="auto"/>
        </w:rPr>
        <w:t>100</w:t>
      </w:r>
      <w:r>
        <w:rPr>
          <w:color w:val="auto"/>
          <w:vertAlign w:val="superscript"/>
        </w:rPr>
        <w:t xml:space="preserve"> </w:t>
      </w:r>
      <w:r>
        <w:rPr>
          <w:rFonts w:hint="eastAsia"/>
          <w:color w:val="auto"/>
        </w:rPr>
        <w:t>d进行配种。</w:t>
      </w:r>
    </w:p>
    <w:p>
      <w:pPr>
        <w:pStyle w:val="165"/>
        <w:rPr>
          <w:color w:val="auto"/>
        </w:rPr>
      </w:pPr>
      <w:r>
        <w:rPr>
          <w:rFonts w:hint="eastAsia"/>
          <w:color w:val="auto"/>
        </w:rPr>
        <w:t>泌乳中期（</w:t>
      </w:r>
      <w:r>
        <w:rPr>
          <w:color w:val="auto"/>
        </w:rPr>
        <w:t>91</w:t>
      </w:r>
      <w:r>
        <w:rPr>
          <w:color w:val="auto"/>
          <w:vertAlign w:val="superscript"/>
        </w:rPr>
        <w:t xml:space="preserve"> </w:t>
      </w:r>
      <w:r>
        <w:rPr>
          <w:rFonts w:hint="eastAsia"/>
          <w:color w:val="auto"/>
        </w:rPr>
        <w:t>d</w:t>
      </w:r>
      <w:r>
        <w:rPr>
          <w:rFonts w:ascii="Times New Roman"/>
          <w:color w:val="auto"/>
        </w:rPr>
        <w:t>～</w:t>
      </w:r>
      <w:r>
        <w:rPr>
          <w:color w:val="auto"/>
        </w:rPr>
        <w:t>180</w:t>
      </w:r>
      <w:r>
        <w:rPr>
          <w:color w:val="auto"/>
          <w:vertAlign w:val="superscript"/>
        </w:rPr>
        <w:t xml:space="preserve"> </w:t>
      </w:r>
      <w:r>
        <w:rPr>
          <w:rFonts w:hint="eastAsia"/>
          <w:color w:val="auto"/>
        </w:rPr>
        <w:t>d）按</w:t>
      </w:r>
      <w:r>
        <w:rPr>
          <w:color w:val="auto"/>
        </w:rPr>
        <w:t>以下要求投喂</w:t>
      </w:r>
      <w:r>
        <w:rPr>
          <w:rFonts w:hint="eastAsia"/>
          <w:color w:val="auto"/>
        </w:rPr>
        <w:t>：</w:t>
      </w:r>
    </w:p>
    <w:p>
      <w:pPr>
        <w:pStyle w:val="174"/>
        <w:numPr>
          <w:ilvl w:val="0"/>
          <w:numId w:val="36"/>
        </w:numPr>
        <w:rPr>
          <w:color w:val="auto"/>
        </w:rPr>
      </w:pPr>
      <w:r>
        <w:rPr>
          <w:rFonts w:hint="eastAsia"/>
          <w:color w:val="auto"/>
        </w:rPr>
        <w:t>奶牛应恢复到正常体况，提供足量的TMR日粮，可适当添加多汁饲料；</w:t>
      </w:r>
    </w:p>
    <w:p>
      <w:pPr>
        <w:pStyle w:val="174"/>
        <w:rPr>
          <w:color w:val="auto"/>
        </w:rPr>
      </w:pPr>
      <w:r>
        <w:rPr>
          <w:rFonts w:hint="eastAsia"/>
          <w:color w:val="auto"/>
        </w:rPr>
        <w:t>每1</w:t>
      </w:r>
      <w:r>
        <w:rPr>
          <w:color w:val="auto"/>
        </w:rPr>
        <w:t>0</w:t>
      </w:r>
      <w:r>
        <w:rPr>
          <w:rFonts w:hint="eastAsia"/>
          <w:color w:val="auto"/>
        </w:rPr>
        <w:t>天视母牛产奶量调整一次精料饲喂量，一般每千克奶增加</w:t>
      </w:r>
      <w:r>
        <w:rPr>
          <w:color w:val="auto"/>
        </w:rPr>
        <w:t>0</w:t>
      </w:r>
      <w:r>
        <w:rPr>
          <w:rFonts w:hint="eastAsia"/>
          <w:color w:val="auto"/>
        </w:rPr>
        <w:t>.</w:t>
      </w:r>
      <w:r>
        <w:rPr>
          <w:color w:val="auto"/>
        </w:rPr>
        <w:t>3</w:t>
      </w:r>
      <w:r>
        <w:rPr>
          <w:color w:val="auto"/>
          <w:vertAlign w:val="superscript"/>
        </w:rPr>
        <w:t xml:space="preserve"> </w:t>
      </w:r>
      <w:r>
        <w:rPr>
          <w:rFonts w:hint="eastAsia"/>
          <w:color w:val="auto"/>
        </w:rPr>
        <w:t>kg</w:t>
      </w:r>
      <w:r>
        <w:rPr>
          <w:rFonts w:ascii="Times New Roman"/>
          <w:color w:val="auto"/>
        </w:rPr>
        <w:t>～</w:t>
      </w:r>
      <w:r>
        <w:rPr>
          <w:color w:val="auto"/>
        </w:rPr>
        <w:t>0</w:t>
      </w:r>
      <w:r>
        <w:rPr>
          <w:rFonts w:hint="eastAsia"/>
          <w:color w:val="auto"/>
        </w:rPr>
        <w:t>.</w:t>
      </w:r>
      <w:r>
        <w:rPr>
          <w:color w:val="auto"/>
        </w:rPr>
        <w:t>5</w:t>
      </w:r>
      <w:r>
        <w:rPr>
          <w:color w:val="auto"/>
          <w:vertAlign w:val="superscript"/>
        </w:rPr>
        <w:t xml:space="preserve"> </w:t>
      </w:r>
      <w:r>
        <w:rPr>
          <w:rFonts w:hint="eastAsia"/>
          <w:color w:val="auto"/>
        </w:rPr>
        <w:t>kg精料，精粗料比例</w:t>
      </w:r>
      <w:r>
        <w:rPr>
          <w:color w:val="auto"/>
        </w:rPr>
        <w:t>50</w:t>
      </w:r>
      <w:r>
        <w:rPr>
          <w:rFonts w:hint="eastAsia"/>
          <w:color w:val="auto"/>
        </w:rPr>
        <w:t>:</w:t>
      </w:r>
      <w:r>
        <w:rPr>
          <w:color w:val="auto"/>
        </w:rPr>
        <w:t>50</w:t>
      </w:r>
      <w:r>
        <w:rPr>
          <w:rFonts w:hint="eastAsia"/>
          <w:color w:val="auto"/>
        </w:rPr>
        <w:t>左右。</w:t>
      </w:r>
    </w:p>
    <w:p>
      <w:pPr>
        <w:pStyle w:val="165"/>
        <w:rPr>
          <w:color w:val="auto"/>
        </w:rPr>
      </w:pPr>
      <w:r>
        <w:rPr>
          <w:rFonts w:hint="eastAsia"/>
          <w:color w:val="auto"/>
        </w:rPr>
        <w:t>泌乳后期（</w:t>
      </w:r>
      <w:r>
        <w:rPr>
          <w:color w:val="auto"/>
        </w:rPr>
        <w:t>181</w:t>
      </w:r>
      <w:r>
        <w:rPr>
          <w:color w:val="auto"/>
          <w:vertAlign w:val="superscript"/>
        </w:rPr>
        <w:t xml:space="preserve"> </w:t>
      </w:r>
      <w:r>
        <w:rPr>
          <w:rFonts w:hint="eastAsia"/>
          <w:color w:val="auto"/>
        </w:rPr>
        <w:t>d</w:t>
      </w:r>
      <w:r>
        <w:rPr>
          <w:rFonts w:ascii="Times New Roman"/>
          <w:color w:val="auto"/>
        </w:rPr>
        <w:t>～</w:t>
      </w:r>
      <w:r>
        <w:rPr>
          <w:rFonts w:hint="eastAsia"/>
          <w:color w:val="auto"/>
        </w:rPr>
        <w:t>干奶）按</w:t>
      </w:r>
      <w:r>
        <w:rPr>
          <w:color w:val="auto"/>
        </w:rPr>
        <w:t>以下要求投喂：</w:t>
      </w:r>
    </w:p>
    <w:p>
      <w:pPr>
        <w:pStyle w:val="174"/>
        <w:numPr>
          <w:ilvl w:val="0"/>
          <w:numId w:val="37"/>
        </w:numPr>
        <w:rPr>
          <w:color w:val="auto"/>
        </w:rPr>
      </w:pPr>
      <w:r>
        <w:rPr>
          <w:rFonts w:hint="eastAsia"/>
          <w:color w:val="auto"/>
        </w:rPr>
        <w:t>视奶水牛的泌乳量增减精料，精粗料比例3</w:t>
      </w:r>
      <w:r>
        <w:rPr>
          <w:color w:val="auto"/>
        </w:rPr>
        <w:t>0</w:t>
      </w:r>
      <w:r>
        <w:rPr>
          <w:rFonts w:hint="eastAsia"/>
          <w:color w:val="auto"/>
        </w:rPr>
        <w:t>:7</w:t>
      </w:r>
      <w:r>
        <w:rPr>
          <w:color w:val="auto"/>
        </w:rPr>
        <w:t>0</w:t>
      </w:r>
      <w:r>
        <w:rPr>
          <w:rFonts w:hint="eastAsia"/>
          <w:color w:val="auto"/>
        </w:rPr>
        <w:t>左右为宜，粗蛋白水平控制在1</w:t>
      </w:r>
      <w:r>
        <w:rPr>
          <w:color w:val="auto"/>
        </w:rPr>
        <w:t>2</w:t>
      </w:r>
      <w:r>
        <w:rPr>
          <w:rFonts w:hint="eastAsia"/>
          <w:color w:val="auto"/>
        </w:rPr>
        <w:t>％</w:t>
      </w:r>
      <w:r>
        <w:rPr>
          <w:rFonts w:ascii="Times New Roman"/>
          <w:color w:val="auto"/>
        </w:rPr>
        <w:t>～</w:t>
      </w:r>
      <w:r>
        <w:rPr>
          <w:color w:val="auto"/>
        </w:rPr>
        <w:t>13</w:t>
      </w:r>
      <w:r>
        <w:rPr>
          <w:rFonts w:hint="eastAsia"/>
          <w:color w:val="auto"/>
        </w:rPr>
        <w:t>％；</w:t>
      </w:r>
    </w:p>
    <w:p>
      <w:pPr>
        <w:pStyle w:val="174"/>
        <w:rPr>
          <w:color w:val="auto"/>
        </w:rPr>
      </w:pPr>
      <w:r>
        <w:rPr>
          <w:rFonts w:hint="eastAsia"/>
          <w:color w:val="auto"/>
        </w:rPr>
        <w:t>加强管理，预防流产，做好停奶准备工作。</w:t>
      </w:r>
    </w:p>
    <w:p>
      <w:pPr>
        <w:pStyle w:val="105"/>
        <w:spacing w:before="156" w:after="156"/>
        <w:rPr>
          <w:color w:val="auto"/>
        </w:rPr>
      </w:pPr>
      <w:r>
        <w:rPr>
          <w:rFonts w:hint="eastAsia"/>
          <w:color w:val="auto"/>
        </w:rPr>
        <w:t>泌乳早期管理</w:t>
      </w:r>
    </w:p>
    <w:p>
      <w:pPr>
        <w:pStyle w:val="165"/>
        <w:rPr>
          <w:color w:val="auto"/>
        </w:rPr>
      </w:pPr>
      <w:r>
        <w:rPr>
          <w:rFonts w:hint="eastAsia"/>
          <w:color w:val="auto"/>
        </w:rPr>
        <w:t>奶水牛分娩后应使其站立后安静休息，做好产房的卫生及消毒工作。</w:t>
      </w:r>
    </w:p>
    <w:p>
      <w:pPr>
        <w:pStyle w:val="165"/>
        <w:rPr>
          <w:color w:val="auto"/>
        </w:rPr>
      </w:pPr>
      <w:r>
        <w:rPr>
          <w:rFonts w:hint="eastAsia"/>
          <w:color w:val="auto"/>
        </w:rPr>
        <w:t>产奶精神、食欲正常的奶水牛在应挤干净初乳。</w:t>
      </w:r>
    </w:p>
    <w:p>
      <w:pPr>
        <w:pStyle w:val="165"/>
        <w:rPr>
          <w:color w:val="auto"/>
        </w:rPr>
      </w:pPr>
      <w:r>
        <w:rPr>
          <w:rFonts w:hint="eastAsia"/>
          <w:color w:val="auto"/>
        </w:rPr>
        <w:t>对病弱或食欲差的奶水牛，应在产后3</w:t>
      </w:r>
      <w:r>
        <w:rPr>
          <w:color w:val="auto"/>
          <w:vertAlign w:val="superscript"/>
        </w:rPr>
        <w:t xml:space="preserve"> </w:t>
      </w:r>
      <w:r>
        <w:rPr>
          <w:rFonts w:hint="eastAsia"/>
          <w:color w:val="auto"/>
        </w:rPr>
        <w:t>d</w:t>
      </w:r>
      <w:r>
        <w:rPr>
          <w:color w:val="auto"/>
        </w:rPr>
        <w:t>～4</w:t>
      </w:r>
      <w:r>
        <w:rPr>
          <w:color w:val="auto"/>
          <w:vertAlign w:val="superscript"/>
        </w:rPr>
        <w:t xml:space="preserve"> </w:t>
      </w:r>
      <w:r>
        <w:rPr>
          <w:rFonts w:hint="eastAsia"/>
          <w:color w:val="auto"/>
        </w:rPr>
        <w:t>d康复后将乳挤净，补充葡萄糖酸钙5</w:t>
      </w:r>
      <w:r>
        <w:rPr>
          <w:color w:val="auto"/>
        </w:rPr>
        <w:t>00</w:t>
      </w:r>
      <w:r>
        <w:rPr>
          <w:color w:val="auto"/>
          <w:vertAlign w:val="superscript"/>
        </w:rPr>
        <w:t xml:space="preserve"> </w:t>
      </w:r>
      <w:r>
        <w:rPr>
          <w:color w:val="auto"/>
        </w:rPr>
        <w:t>m</w:t>
      </w:r>
      <w:r>
        <w:rPr>
          <w:rFonts w:hint="eastAsia"/>
          <w:color w:val="auto"/>
        </w:rPr>
        <w:t>L</w:t>
      </w:r>
      <w:r>
        <w:rPr>
          <w:color w:val="auto"/>
        </w:rPr>
        <w:t>～1</w:t>
      </w:r>
      <w:r>
        <w:rPr>
          <w:rFonts w:hint="eastAsia"/>
          <w:color w:val="auto"/>
          <w:vertAlign w:val="superscript"/>
        </w:rPr>
        <w:t xml:space="preserve"> </w:t>
      </w:r>
      <w:r>
        <w:rPr>
          <w:color w:val="auto"/>
        </w:rPr>
        <w:t>500</w:t>
      </w:r>
      <w:r>
        <w:rPr>
          <w:color w:val="auto"/>
          <w:vertAlign w:val="superscript"/>
        </w:rPr>
        <w:t xml:space="preserve"> </w:t>
      </w:r>
      <w:r>
        <w:rPr>
          <w:color w:val="auto"/>
        </w:rPr>
        <w:t>m</w:t>
      </w:r>
      <w:r>
        <w:rPr>
          <w:rFonts w:hint="eastAsia"/>
          <w:color w:val="auto"/>
        </w:rPr>
        <w:t>L，用药按照NY/T 472的规定执行。</w:t>
      </w:r>
    </w:p>
    <w:p>
      <w:pPr>
        <w:pStyle w:val="105"/>
        <w:spacing w:before="156" w:after="156"/>
        <w:rPr>
          <w:color w:val="auto"/>
        </w:rPr>
      </w:pPr>
      <w:r>
        <w:rPr>
          <w:rFonts w:hint="eastAsia"/>
          <w:color w:val="auto"/>
        </w:rPr>
        <w:t>泌乳期管理</w:t>
      </w:r>
    </w:p>
    <w:p>
      <w:pPr>
        <w:pStyle w:val="165"/>
        <w:rPr>
          <w:color w:val="auto"/>
        </w:rPr>
      </w:pPr>
      <w:r>
        <w:rPr>
          <w:rFonts w:hint="eastAsia"/>
          <w:color w:val="auto"/>
        </w:rPr>
        <w:t>全混合日粮饲喂，自由采食。</w:t>
      </w:r>
    </w:p>
    <w:p>
      <w:pPr>
        <w:pStyle w:val="165"/>
        <w:rPr>
          <w:color w:val="auto"/>
        </w:rPr>
      </w:pPr>
      <w:r>
        <w:rPr>
          <w:rFonts w:hint="eastAsia"/>
          <w:color w:val="auto"/>
        </w:rPr>
        <w:t>不饲喂霉变、冰冻及含有铁钉、石头、塑料等异物的饲料。</w:t>
      </w:r>
    </w:p>
    <w:p>
      <w:pPr>
        <w:pStyle w:val="165"/>
        <w:rPr>
          <w:color w:val="auto"/>
        </w:rPr>
      </w:pPr>
      <w:r>
        <w:rPr>
          <w:rFonts w:hint="eastAsia"/>
          <w:color w:val="auto"/>
        </w:rPr>
        <w:t>运动场要设饮水槽，保持水槽清洁卫生，水质应符合NY 5027的要求。</w:t>
      </w:r>
    </w:p>
    <w:p>
      <w:pPr>
        <w:pStyle w:val="165"/>
        <w:rPr>
          <w:color w:val="auto"/>
        </w:rPr>
      </w:pPr>
      <w:r>
        <w:rPr>
          <w:rFonts w:hint="eastAsia"/>
          <w:color w:val="auto"/>
        </w:rPr>
        <w:t>做好夏季防暑降温、冬季防寒保暖措施。</w:t>
      </w:r>
    </w:p>
    <w:p>
      <w:pPr>
        <w:pStyle w:val="165"/>
        <w:rPr>
          <w:color w:val="auto"/>
        </w:rPr>
      </w:pPr>
      <w:r>
        <w:rPr>
          <w:rFonts w:hint="eastAsia"/>
          <w:color w:val="auto"/>
        </w:rPr>
        <w:t>对牛只异常情况，做到早发现、早报告、早处置，做好检测、治疗、配种、测定、记录等工作。</w:t>
      </w:r>
    </w:p>
    <w:p>
      <w:pPr>
        <w:pStyle w:val="165"/>
        <w:rPr>
          <w:color w:val="auto"/>
        </w:rPr>
      </w:pPr>
      <w:r>
        <w:rPr>
          <w:rFonts w:hint="eastAsia"/>
          <w:color w:val="auto"/>
        </w:rPr>
        <w:t>尽量保持安静环境，不应高声喧哗或打骂牛只，避免陌生人进入牛舍；饲养员不应打冷鞭、急促驱赶牛只。</w:t>
      </w:r>
    </w:p>
    <w:p>
      <w:pPr>
        <w:pStyle w:val="165"/>
        <w:rPr>
          <w:color w:val="auto"/>
        </w:rPr>
      </w:pPr>
      <w:r>
        <w:rPr>
          <w:rFonts w:hint="eastAsia"/>
          <w:color w:val="auto"/>
        </w:rPr>
        <w:t>注意牛舍卫生，每次挤奶放牛后必须立即清扫、冲洗牛舍，使室内及运动场无粪便、食槽里无残渣。</w:t>
      </w:r>
    </w:p>
    <w:p>
      <w:pPr>
        <w:pStyle w:val="104"/>
        <w:spacing w:before="312" w:after="312"/>
        <w:rPr>
          <w:color w:val="auto"/>
        </w:rPr>
      </w:pPr>
      <w:r>
        <w:rPr>
          <w:rFonts w:hint="eastAsia"/>
          <w:color w:val="auto"/>
        </w:rPr>
        <w:t>疫病</w:t>
      </w:r>
      <w:r>
        <w:rPr>
          <w:color w:val="auto"/>
        </w:rPr>
        <w:t>防控</w:t>
      </w:r>
    </w:p>
    <w:p>
      <w:pPr>
        <w:pStyle w:val="105"/>
        <w:spacing w:before="156" w:after="156"/>
        <w:rPr>
          <w:color w:val="auto"/>
        </w:rPr>
      </w:pPr>
      <w:r>
        <w:rPr>
          <w:rFonts w:hint="eastAsia"/>
          <w:color w:val="auto"/>
        </w:rPr>
        <w:t>消毒</w:t>
      </w:r>
      <w:r>
        <w:rPr>
          <w:color w:val="auto"/>
        </w:rPr>
        <w:t>防疫</w:t>
      </w:r>
    </w:p>
    <w:p>
      <w:pPr>
        <w:pStyle w:val="65"/>
        <w:spacing w:before="156" w:after="156"/>
        <w:rPr>
          <w:color w:val="auto"/>
        </w:rPr>
      </w:pPr>
      <w:r>
        <w:rPr>
          <w:rFonts w:hint="eastAsia"/>
          <w:color w:val="auto"/>
        </w:rPr>
        <w:t>消毒</w:t>
      </w:r>
    </w:p>
    <w:p>
      <w:pPr>
        <w:pStyle w:val="94"/>
        <w:spacing w:before="156" w:after="156"/>
        <w:rPr>
          <w:color w:val="auto"/>
        </w:rPr>
      </w:pPr>
      <w:r>
        <w:rPr>
          <w:rFonts w:hint="eastAsia"/>
          <w:color w:val="auto"/>
        </w:rPr>
        <w:t>环境消毒</w:t>
      </w:r>
    </w:p>
    <w:p>
      <w:pPr>
        <w:pStyle w:val="56"/>
        <w:ind w:firstLine="420"/>
        <w:rPr>
          <w:color w:val="auto"/>
        </w:rPr>
      </w:pPr>
      <w:r>
        <w:rPr>
          <w:rFonts w:hint="eastAsia"/>
          <w:color w:val="auto"/>
        </w:rPr>
        <w:t>养殖场门口应设消毒池，内置2％氢氧化钠溶液，或撒氢氧化钙，定期更换。场内环境定期用2％氢氧化钠消毒或撒氢氧化钙。场内污水池、排粪坑和下水道定期用漂白粉消毒。</w:t>
      </w:r>
    </w:p>
    <w:p>
      <w:pPr>
        <w:pStyle w:val="94"/>
        <w:spacing w:before="156" w:after="156"/>
        <w:rPr>
          <w:color w:val="auto"/>
        </w:rPr>
      </w:pPr>
      <w:r>
        <w:rPr>
          <w:rFonts w:hint="eastAsia"/>
          <w:color w:val="auto"/>
        </w:rPr>
        <w:t>牛舍消毒</w:t>
      </w:r>
    </w:p>
    <w:p>
      <w:pPr>
        <w:pStyle w:val="56"/>
        <w:ind w:firstLine="420"/>
        <w:rPr>
          <w:color w:val="auto"/>
        </w:rPr>
      </w:pPr>
      <w:r>
        <w:rPr>
          <w:rFonts w:hint="eastAsia"/>
          <w:color w:val="auto"/>
        </w:rPr>
        <w:t>泌乳期奶水牛舍定期用0.1％苯扎溴铵、0.3％过氧乙酸或0.1％次氯酸等消毒液进行消毒，泌乳期奶水牛出栏后开展终末消毒。食槽和饮水槽每天清扫干净，定期用1％～2％氢氧化钠溶液进行消毒。</w:t>
      </w:r>
    </w:p>
    <w:p>
      <w:pPr>
        <w:pStyle w:val="94"/>
        <w:spacing w:before="156" w:after="156"/>
        <w:rPr>
          <w:color w:val="auto"/>
        </w:rPr>
      </w:pPr>
      <w:r>
        <w:rPr>
          <w:rFonts w:hint="eastAsia"/>
          <w:color w:val="auto"/>
        </w:rPr>
        <w:t>用具消毒</w:t>
      </w:r>
    </w:p>
    <w:p>
      <w:pPr>
        <w:pStyle w:val="56"/>
        <w:ind w:firstLine="420"/>
        <w:rPr>
          <w:color w:val="auto"/>
        </w:rPr>
      </w:pPr>
      <w:r>
        <w:rPr>
          <w:rFonts w:hint="eastAsia"/>
          <w:color w:val="auto"/>
        </w:rPr>
        <w:t>定期对饲喂用具，饲料车消毒。防疫器械使用前后应彻底消毒。</w:t>
      </w:r>
    </w:p>
    <w:p>
      <w:pPr>
        <w:pStyle w:val="65"/>
        <w:spacing w:before="156" w:after="156"/>
        <w:rPr>
          <w:color w:val="auto"/>
        </w:rPr>
      </w:pPr>
      <w:r>
        <w:rPr>
          <w:rFonts w:hint="eastAsia"/>
          <w:color w:val="auto"/>
        </w:rPr>
        <w:t>防疫</w:t>
      </w:r>
    </w:p>
    <w:p>
      <w:pPr>
        <w:pStyle w:val="56"/>
        <w:ind w:firstLine="420"/>
        <w:rPr>
          <w:color w:val="auto"/>
        </w:rPr>
      </w:pPr>
      <w:r>
        <w:rPr>
          <w:rFonts w:hint="eastAsia"/>
          <w:color w:val="auto"/>
        </w:rPr>
        <w:t>泌乳期奶水牛防疫、卫生标准应符合NY/T 473的规定。药物使用应符合NY/T 472的规定。</w:t>
      </w:r>
    </w:p>
    <w:p>
      <w:pPr>
        <w:pStyle w:val="105"/>
        <w:spacing w:before="156" w:after="156"/>
        <w:rPr>
          <w:color w:val="auto"/>
        </w:rPr>
      </w:pPr>
      <w:r>
        <w:rPr>
          <w:rFonts w:hint="eastAsia"/>
          <w:color w:val="auto"/>
        </w:rPr>
        <w:t>灭鼠与杀虫</w:t>
      </w:r>
    </w:p>
    <w:p>
      <w:pPr>
        <w:pStyle w:val="165"/>
        <w:rPr>
          <w:color w:val="auto"/>
        </w:rPr>
      </w:pPr>
      <w:r>
        <w:rPr>
          <w:rFonts w:hint="eastAsia"/>
          <w:color w:val="auto"/>
        </w:rPr>
        <w:t>养殖场应采用物理方法灭鼠，及时收集死鼠，做无害化处理。</w:t>
      </w:r>
    </w:p>
    <w:p>
      <w:pPr>
        <w:pStyle w:val="165"/>
        <w:rPr>
          <w:color w:val="auto"/>
        </w:rPr>
      </w:pPr>
      <w:r>
        <w:rPr>
          <w:rFonts w:hint="eastAsia"/>
          <w:color w:val="auto"/>
        </w:rPr>
        <w:t>养殖场周围杂草、水坑等蚊虫滋生地和奶水牛舍内喷洒无毒灭蝇剂消灭蝇。</w:t>
      </w:r>
    </w:p>
    <w:p>
      <w:pPr>
        <w:pStyle w:val="104"/>
        <w:spacing w:before="312" w:after="312"/>
        <w:rPr>
          <w:color w:val="auto"/>
        </w:rPr>
      </w:pPr>
      <w:r>
        <w:rPr>
          <w:rFonts w:hint="eastAsia"/>
          <w:color w:val="auto"/>
        </w:rPr>
        <w:t>无害化处理</w:t>
      </w:r>
    </w:p>
    <w:p>
      <w:pPr>
        <w:pStyle w:val="56"/>
        <w:ind w:firstLine="420"/>
        <w:rPr>
          <w:color w:val="auto"/>
        </w:rPr>
      </w:pPr>
      <w:r>
        <w:rPr>
          <w:rFonts w:hint="eastAsia"/>
          <w:color w:val="auto"/>
        </w:rPr>
        <w:t>废弃物应按GB 36195的规定进行处理。病、死牛无害化处理按照HJ/T 81执行。</w:t>
      </w:r>
    </w:p>
    <w:p>
      <w:pPr>
        <w:pStyle w:val="104"/>
        <w:spacing w:before="312" w:after="312"/>
        <w:rPr>
          <w:color w:val="auto"/>
        </w:rPr>
      </w:pPr>
      <w:r>
        <w:rPr>
          <w:rFonts w:hint="eastAsia"/>
          <w:color w:val="auto"/>
        </w:rPr>
        <w:t>人员</w:t>
      </w:r>
      <w:r>
        <w:rPr>
          <w:color w:val="auto"/>
        </w:rPr>
        <w:t>管理</w:t>
      </w:r>
    </w:p>
    <w:p>
      <w:pPr>
        <w:pStyle w:val="162"/>
        <w:rPr>
          <w:color w:val="auto"/>
        </w:rPr>
      </w:pPr>
      <w:r>
        <w:rPr>
          <w:rFonts w:hint="eastAsia"/>
          <w:color w:val="auto"/>
        </w:rPr>
        <w:t>定期对工作人员进行健康检查，患有人畜共患病的人员不宜从事饲养工作。</w:t>
      </w:r>
    </w:p>
    <w:p>
      <w:pPr>
        <w:pStyle w:val="162"/>
        <w:rPr>
          <w:color w:val="auto"/>
        </w:rPr>
      </w:pPr>
      <w:r>
        <w:rPr>
          <w:rFonts w:hint="eastAsia"/>
          <w:color w:val="auto"/>
        </w:rPr>
        <w:t>工作人员进入生产区应更换工作服，并进行消毒。</w:t>
      </w:r>
    </w:p>
    <w:p>
      <w:pPr>
        <w:pStyle w:val="162"/>
        <w:rPr>
          <w:color w:val="auto"/>
        </w:rPr>
      </w:pPr>
      <w:r>
        <w:rPr>
          <w:rFonts w:hint="eastAsia"/>
          <w:color w:val="auto"/>
        </w:rPr>
        <w:t>场内人员不对外提供诊疗、配种服务。</w:t>
      </w:r>
    </w:p>
    <w:p>
      <w:pPr>
        <w:pStyle w:val="162"/>
        <w:rPr>
          <w:color w:val="auto"/>
        </w:rPr>
      </w:pPr>
      <w:r>
        <w:rPr>
          <w:rFonts w:hint="eastAsia"/>
          <w:color w:val="auto"/>
        </w:rPr>
        <w:t>外来人员确需入场的，应更换场区工作服和工作鞋，遵守场内卫生防疫制度。</w:t>
      </w:r>
    </w:p>
    <w:p>
      <w:pPr>
        <w:pStyle w:val="104"/>
        <w:spacing w:before="312" w:after="312"/>
        <w:rPr>
          <w:color w:val="auto"/>
        </w:rPr>
      </w:pPr>
      <w:r>
        <w:rPr>
          <w:rFonts w:hint="eastAsia"/>
          <w:color w:val="auto"/>
        </w:rPr>
        <w:t>档案管理</w:t>
      </w:r>
    </w:p>
    <w:p>
      <w:pPr>
        <w:pStyle w:val="56"/>
        <w:ind w:firstLine="420"/>
        <w:rPr>
          <w:color w:val="auto"/>
        </w:rPr>
      </w:pPr>
      <w:r>
        <w:rPr>
          <w:rFonts w:hint="eastAsia"/>
          <w:color w:val="auto"/>
        </w:rPr>
        <w:t>档案记录包括投入品来源及配方、各种添加剂使用情况、喂料量，牛群健康状况、免疫记录、用药记录、发病及治疗情况、死亡数、死亡原因等，并妥善保存3年以上。</w:t>
      </w:r>
    </w:p>
    <w:bookmarkEnd w:id="21"/>
    <w:p>
      <w:pPr>
        <w:pStyle w:val="56"/>
        <w:ind w:firstLine="0" w:firstLineChars="0"/>
        <w:jc w:val="center"/>
      </w:pPr>
      <w:bookmarkStart w:id="43" w:name="BookMark8"/>
      <w:r>
        <w:rPr>
          <w:rFonts w:hint="eastAsia"/>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3"/>
    </w:p>
    <w:sectPr>
      <w:headerReference r:id="rId15" w:type="default"/>
      <w:footerReference r:id="rId17" w:type="default"/>
      <w:headerReference r:id="rId16" w:type="even"/>
      <w:footerReference r:id="rId18" w:type="even"/>
      <w:pgSz w:w="11906" w:h="16838"/>
      <w:pgMar w:top="1928"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3</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45/T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45/T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45/T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45/T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992" w:firstLine="0"/>
      </w:pPr>
      <w:rPr>
        <w:rFonts w:hint="eastAsia" w:ascii="黑体" w:hAnsi="黑体" w:eastAsia="黑体" w:cs="Times New Roman"/>
        <w:b w:val="0"/>
        <w:bCs w:val="0"/>
        <w:i w:val="0"/>
        <w:iCs w:val="0"/>
        <w:caps w:val="0"/>
        <w:smallCaps w:val="0"/>
        <w:strike w:val="0"/>
        <w:dstrike w:val="0"/>
        <w:vanish w:val="0"/>
        <w:color w:val="auto"/>
        <w:spacing w:val="0"/>
        <w:kern w:val="0"/>
        <w:position w:val="0"/>
        <w:sz w:val="21"/>
        <w:u w:val="none"/>
        <w:vertAlign w:val="baseline"/>
      </w:rPr>
    </w:lvl>
    <w:lvl w:ilvl="3" w:tentative="0">
      <w:start w:val="1"/>
      <w:numFmt w:val="decimal"/>
      <w:pStyle w:val="65"/>
      <w:suff w:val="nothing"/>
      <w:lvlText w:val="%1%2.%3.%4　"/>
      <w:lvlJc w:val="left"/>
      <w:pPr>
        <w:ind w:left="142" w:firstLine="0"/>
      </w:pPr>
      <w:rPr>
        <w:rFonts w:hint="eastAsia" w:ascii="黑体" w:hAnsi="黑体" w:eastAsia="黑体"/>
        <w:b w:val="0"/>
        <w:i w:val="0"/>
        <w:sz w:val="21"/>
      </w:rPr>
    </w:lvl>
    <w:lvl w:ilvl="4" w:tentative="0">
      <w:start w:val="1"/>
      <w:numFmt w:val="decimal"/>
      <w:pStyle w:val="94"/>
      <w:suff w:val="nothing"/>
      <w:lvlText w:val="%1%2.%3.%4.%5　"/>
      <w:lvlJc w:val="left"/>
      <w:pPr>
        <w:ind w:left="1701" w:firstLine="0"/>
      </w:pPr>
      <w:rPr>
        <w:rFonts w:hint="eastAsia" w:ascii="黑体" w:hAns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attachedTemplate r:id="rId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0OWNhMGUyYzc2MTI5ZWY2NzM4MTVkMDAwODg0YzMifQ=="/>
    <w:docVar w:name="KSO_WPS_MARK_KEY" w:val="95b1ba40-17ad-445b-b258-56ddc3da752e"/>
  </w:docVars>
  <w:rsids>
    <w:rsidRoot w:val="00D416CC"/>
    <w:rsid w:val="0000040A"/>
    <w:rsid w:val="00000A94"/>
    <w:rsid w:val="00001972"/>
    <w:rsid w:val="00001D9A"/>
    <w:rsid w:val="000028B2"/>
    <w:rsid w:val="00007B3A"/>
    <w:rsid w:val="000107E0"/>
    <w:rsid w:val="00011FDE"/>
    <w:rsid w:val="00012FFD"/>
    <w:rsid w:val="00014162"/>
    <w:rsid w:val="00014340"/>
    <w:rsid w:val="00016A9C"/>
    <w:rsid w:val="00017E77"/>
    <w:rsid w:val="00022184"/>
    <w:rsid w:val="00022291"/>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47CA"/>
    <w:rsid w:val="00067F1E"/>
    <w:rsid w:val="00071CC0"/>
    <w:rsid w:val="00073C8C"/>
    <w:rsid w:val="00077B64"/>
    <w:rsid w:val="00080A1C"/>
    <w:rsid w:val="00082317"/>
    <w:rsid w:val="00082FCD"/>
    <w:rsid w:val="00083D2C"/>
    <w:rsid w:val="0008631E"/>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09BD"/>
    <w:rsid w:val="000B1592"/>
    <w:rsid w:val="000B1FF2"/>
    <w:rsid w:val="000B3CDA"/>
    <w:rsid w:val="000B6A0B"/>
    <w:rsid w:val="000C0F6C"/>
    <w:rsid w:val="000C11DB"/>
    <w:rsid w:val="000C1492"/>
    <w:rsid w:val="000C2FBD"/>
    <w:rsid w:val="000C4AC5"/>
    <w:rsid w:val="000C4B41"/>
    <w:rsid w:val="000C57D6"/>
    <w:rsid w:val="000C6362"/>
    <w:rsid w:val="000C7666"/>
    <w:rsid w:val="000D0A9C"/>
    <w:rsid w:val="000D1795"/>
    <w:rsid w:val="000D329A"/>
    <w:rsid w:val="000D3A6B"/>
    <w:rsid w:val="000D4B9C"/>
    <w:rsid w:val="000D4EB6"/>
    <w:rsid w:val="000D753B"/>
    <w:rsid w:val="000E4C9E"/>
    <w:rsid w:val="000E5E5D"/>
    <w:rsid w:val="000E6FD7"/>
    <w:rsid w:val="000F06E1"/>
    <w:rsid w:val="000F0E3C"/>
    <w:rsid w:val="000F19D5"/>
    <w:rsid w:val="000F4AEA"/>
    <w:rsid w:val="000F633F"/>
    <w:rsid w:val="000F67E9"/>
    <w:rsid w:val="00100B82"/>
    <w:rsid w:val="001010DE"/>
    <w:rsid w:val="00104926"/>
    <w:rsid w:val="00113B1E"/>
    <w:rsid w:val="0011711C"/>
    <w:rsid w:val="0012059C"/>
    <w:rsid w:val="00124E4F"/>
    <w:rsid w:val="00125E7E"/>
    <w:rsid w:val="001260B7"/>
    <w:rsid w:val="001265AE"/>
    <w:rsid w:val="001265CB"/>
    <w:rsid w:val="001321C6"/>
    <w:rsid w:val="001325C4"/>
    <w:rsid w:val="00133010"/>
    <w:rsid w:val="001338EE"/>
    <w:rsid w:val="00133AAE"/>
    <w:rsid w:val="00135323"/>
    <w:rsid w:val="001356C4"/>
    <w:rsid w:val="001375D1"/>
    <w:rsid w:val="00141114"/>
    <w:rsid w:val="00142969"/>
    <w:rsid w:val="001446C2"/>
    <w:rsid w:val="001457E7"/>
    <w:rsid w:val="00145D9D"/>
    <w:rsid w:val="00146388"/>
    <w:rsid w:val="001519FF"/>
    <w:rsid w:val="001529E5"/>
    <w:rsid w:val="0015350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3FD1"/>
    <w:rsid w:val="00175624"/>
    <w:rsid w:val="00176273"/>
    <w:rsid w:val="00176DFD"/>
    <w:rsid w:val="001852C9"/>
    <w:rsid w:val="00185AFE"/>
    <w:rsid w:val="00190087"/>
    <w:rsid w:val="001913C4"/>
    <w:rsid w:val="0019348F"/>
    <w:rsid w:val="00193A07"/>
    <w:rsid w:val="00194C95"/>
    <w:rsid w:val="00195C34"/>
    <w:rsid w:val="00196EF5"/>
    <w:rsid w:val="001A1A53"/>
    <w:rsid w:val="001A234A"/>
    <w:rsid w:val="001A4CF3"/>
    <w:rsid w:val="001B06E8"/>
    <w:rsid w:val="001B706E"/>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3709"/>
    <w:rsid w:val="001D411C"/>
    <w:rsid w:val="001E1B6A"/>
    <w:rsid w:val="001E2484"/>
    <w:rsid w:val="001E3CC4"/>
    <w:rsid w:val="001E4882"/>
    <w:rsid w:val="001E6336"/>
    <w:rsid w:val="001E73AB"/>
    <w:rsid w:val="001F092D"/>
    <w:rsid w:val="001F143A"/>
    <w:rsid w:val="001F1605"/>
    <w:rsid w:val="001F2508"/>
    <w:rsid w:val="001F459E"/>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16234"/>
    <w:rsid w:val="00217F0E"/>
    <w:rsid w:val="002204BB"/>
    <w:rsid w:val="00221B79"/>
    <w:rsid w:val="00221C6B"/>
    <w:rsid w:val="00223D8F"/>
    <w:rsid w:val="002246A1"/>
    <w:rsid w:val="002253A1"/>
    <w:rsid w:val="00225CF8"/>
    <w:rsid w:val="0022794E"/>
    <w:rsid w:val="00233D64"/>
    <w:rsid w:val="0023482A"/>
    <w:rsid w:val="002359CB"/>
    <w:rsid w:val="00243540"/>
    <w:rsid w:val="0024497B"/>
    <w:rsid w:val="00244983"/>
    <w:rsid w:val="0024515B"/>
    <w:rsid w:val="00246021"/>
    <w:rsid w:val="0024666E"/>
    <w:rsid w:val="00247F52"/>
    <w:rsid w:val="00250255"/>
    <w:rsid w:val="00250B25"/>
    <w:rsid w:val="00250BBE"/>
    <w:rsid w:val="002515C2"/>
    <w:rsid w:val="0025194F"/>
    <w:rsid w:val="00251EB9"/>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8589F"/>
    <w:rsid w:val="00292D60"/>
    <w:rsid w:val="00293B30"/>
    <w:rsid w:val="00294D34"/>
    <w:rsid w:val="00294E3B"/>
    <w:rsid w:val="00296193"/>
    <w:rsid w:val="00296C66"/>
    <w:rsid w:val="00296D9D"/>
    <w:rsid w:val="00296EBE"/>
    <w:rsid w:val="002974E3"/>
    <w:rsid w:val="002A084B"/>
    <w:rsid w:val="002A1260"/>
    <w:rsid w:val="002A1589"/>
    <w:rsid w:val="002A1608"/>
    <w:rsid w:val="002A25DC"/>
    <w:rsid w:val="002A3AAB"/>
    <w:rsid w:val="002A4CEA"/>
    <w:rsid w:val="002A5977"/>
    <w:rsid w:val="002A5A13"/>
    <w:rsid w:val="002A757F"/>
    <w:rsid w:val="002A7F44"/>
    <w:rsid w:val="002B00EA"/>
    <w:rsid w:val="002B0A8B"/>
    <w:rsid w:val="002B0C40"/>
    <w:rsid w:val="002B1966"/>
    <w:rsid w:val="002B4508"/>
    <w:rsid w:val="002B5779"/>
    <w:rsid w:val="002B7332"/>
    <w:rsid w:val="002B7E5F"/>
    <w:rsid w:val="002B7F51"/>
    <w:rsid w:val="002B7FC5"/>
    <w:rsid w:val="002C09E7"/>
    <w:rsid w:val="002C1E06"/>
    <w:rsid w:val="002C1E1C"/>
    <w:rsid w:val="002C3F07"/>
    <w:rsid w:val="002C5278"/>
    <w:rsid w:val="002C7EBB"/>
    <w:rsid w:val="002D06C1"/>
    <w:rsid w:val="002D42B5"/>
    <w:rsid w:val="002D4F1A"/>
    <w:rsid w:val="002D6EC6"/>
    <w:rsid w:val="002D79AC"/>
    <w:rsid w:val="002E039D"/>
    <w:rsid w:val="002E17CE"/>
    <w:rsid w:val="002E4D5A"/>
    <w:rsid w:val="002E6326"/>
    <w:rsid w:val="002F30E0"/>
    <w:rsid w:val="002F35E4"/>
    <w:rsid w:val="002F3730"/>
    <w:rsid w:val="002F38E1"/>
    <w:rsid w:val="002F7AF6"/>
    <w:rsid w:val="00300E63"/>
    <w:rsid w:val="00302F5F"/>
    <w:rsid w:val="0030441D"/>
    <w:rsid w:val="0030586A"/>
    <w:rsid w:val="00306063"/>
    <w:rsid w:val="00313B85"/>
    <w:rsid w:val="003155C3"/>
    <w:rsid w:val="00317988"/>
    <w:rsid w:val="003221B4"/>
    <w:rsid w:val="0032258D"/>
    <w:rsid w:val="00322E62"/>
    <w:rsid w:val="00324D13"/>
    <w:rsid w:val="00324D2A"/>
    <w:rsid w:val="00324EDD"/>
    <w:rsid w:val="00327326"/>
    <w:rsid w:val="003331E4"/>
    <w:rsid w:val="00336C64"/>
    <w:rsid w:val="00337162"/>
    <w:rsid w:val="003411AB"/>
    <w:rsid w:val="0034194F"/>
    <w:rsid w:val="00344605"/>
    <w:rsid w:val="003474AA"/>
    <w:rsid w:val="00350D1D"/>
    <w:rsid w:val="003514B3"/>
    <w:rsid w:val="00352C83"/>
    <w:rsid w:val="003615D2"/>
    <w:rsid w:val="0036429C"/>
    <w:rsid w:val="00364A53"/>
    <w:rsid w:val="003654CB"/>
    <w:rsid w:val="00365AA9"/>
    <w:rsid w:val="00365F86"/>
    <w:rsid w:val="00365F87"/>
    <w:rsid w:val="00366E89"/>
    <w:rsid w:val="00367590"/>
    <w:rsid w:val="003705F4"/>
    <w:rsid w:val="00370D58"/>
    <w:rsid w:val="00371316"/>
    <w:rsid w:val="00374A2D"/>
    <w:rsid w:val="00376713"/>
    <w:rsid w:val="00381815"/>
    <w:rsid w:val="003819AF"/>
    <w:rsid w:val="003820E9"/>
    <w:rsid w:val="00382DE7"/>
    <w:rsid w:val="003836C0"/>
    <w:rsid w:val="00384FFC"/>
    <w:rsid w:val="003855C9"/>
    <w:rsid w:val="003872FC"/>
    <w:rsid w:val="00387ADC"/>
    <w:rsid w:val="00390020"/>
    <w:rsid w:val="003903D6"/>
    <w:rsid w:val="00390EE6"/>
    <w:rsid w:val="0039118F"/>
    <w:rsid w:val="00392AD7"/>
    <w:rsid w:val="003938D9"/>
    <w:rsid w:val="00394376"/>
    <w:rsid w:val="003943FF"/>
    <w:rsid w:val="00395700"/>
    <w:rsid w:val="003974EB"/>
    <w:rsid w:val="00397CC5"/>
    <w:rsid w:val="003A03D9"/>
    <w:rsid w:val="003A1582"/>
    <w:rsid w:val="003A4077"/>
    <w:rsid w:val="003B09AD"/>
    <w:rsid w:val="003B1F18"/>
    <w:rsid w:val="003B2A8B"/>
    <w:rsid w:val="003B5BF0"/>
    <w:rsid w:val="003B60BF"/>
    <w:rsid w:val="003B6BE3"/>
    <w:rsid w:val="003C010C"/>
    <w:rsid w:val="003C0A6C"/>
    <w:rsid w:val="003C14F8"/>
    <w:rsid w:val="003C532F"/>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0BD"/>
    <w:rsid w:val="00404869"/>
    <w:rsid w:val="00404A8A"/>
    <w:rsid w:val="00405884"/>
    <w:rsid w:val="00407D39"/>
    <w:rsid w:val="0041477A"/>
    <w:rsid w:val="004167A3"/>
    <w:rsid w:val="00416CDB"/>
    <w:rsid w:val="00432DAA"/>
    <w:rsid w:val="00434142"/>
    <w:rsid w:val="00434305"/>
    <w:rsid w:val="00435DF7"/>
    <w:rsid w:val="00436D03"/>
    <w:rsid w:val="0044083F"/>
    <w:rsid w:val="00441AE7"/>
    <w:rsid w:val="00445574"/>
    <w:rsid w:val="004467FB"/>
    <w:rsid w:val="00447012"/>
    <w:rsid w:val="0044714F"/>
    <w:rsid w:val="00452D6B"/>
    <w:rsid w:val="00454484"/>
    <w:rsid w:val="0045517B"/>
    <w:rsid w:val="00455799"/>
    <w:rsid w:val="00463B77"/>
    <w:rsid w:val="00463C7B"/>
    <w:rsid w:val="004644A6"/>
    <w:rsid w:val="004659BD"/>
    <w:rsid w:val="00470775"/>
    <w:rsid w:val="004746B1"/>
    <w:rsid w:val="0047570F"/>
    <w:rsid w:val="0047583F"/>
    <w:rsid w:val="00475DE8"/>
    <w:rsid w:val="00481C44"/>
    <w:rsid w:val="00484936"/>
    <w:rsid w:val="00484D3E"/>
    <w:rsid w:val="00485C89"/>
    <w:rsid w:val="00486BE3"/>
    <w:rsid w:val="004905E4"/>
    <w:rsid w:val="00490A89"/>
    <w:rsid w:val="00490A9A"/>
    <w:rsid w:val="00490AB4"/>
    <w:rsid w:val="00492F02"/>
    <w:rsid w:val="004939AE"/>
    <w:rsid w:val="004A0A93"/>
    <w:rsid w:val="004A12DF"/>
    <w:rsid w:val="004A17E6"/>
    <w:rsid w:val="004A1BA8"/>
    <w:rsid w:val="004A4B57"/>
    <w:rsid w:val="004A63FA"/>
    <w:rsid w:val="004B0272"/>
    <w:rsid w:val="004B165B"/>
    <w:rsid w:val="004B2701"/>
    <w:rsid w:val="004B2E1B"/>
    <w:rsid w:val="004B3AA8"/>
    <w:rsid w:val="004B3E93"/>
    <w:rsid w:val="004C1850"/>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0EEC"/>
    <w:rsid w:val="005220EC"/>
    <w:rsid w:val="00523F95"/>
    <w:rsid w:val="00524D65"/>
    <w:rsid w:val="00525B16"/>
    <w:rsid w:val="00527115"/>
    <w:rsid w:val="00533D04"/>
    <w:rsid w:val="00534804"/>
    <w:rsid w:val="00534BDF"/>
    <w:rsid w:val="005354EA"/>
    <w:rsid w:val="0053585F"/>
    <w:rsid w:val="00535EC4"/>
    <w:rsid w:val="00535ED9"/>
    <w:rsid w:val="0053692B"/>
    <w:rsid w:val="00541853"/>
    <w:rsid w:val="00543BDA"/>
    <w:rsid w:val="005441CC"/>
    <w:rsid w:val="005460F7"/>
    <w:rsid w:val="005467A7"/>
    <w:rsid w:val="005479DA"/>
    <w:rsid w:val="00547BCC"/>
    <w:rsid w:val="0055013B"/>
    <w:rsid w:val="00551F6F"/>
    <w:rsid w:val="00555044"/>
    <w:rsid w:val="00561475"/>
    <w:rsid w:val="0056487B"/>
    <w:rsid w:val="00564FB9"/>
    <w:rsid w:val="00573D9E"/>
    <w:rsid w:val="005801E3"/>
    <w:rsid w:val="00581802"/>
    <w:rsid w:val="005827D1"/>
    <w:rsid w:val="005836A8"/>
    <w:rsid w:val="0058409C"/>
    <w:rsid w:val="00584262"/>
    <w:rsid w:val="005847A6"/>
    <w:rsid w:val="00586630"/>
    <w:rsid w:val="00587ADD"/>
    <w:rsid w:val="00591E27"/>
    <w:rsid w:val="00596160"/>
    <w:rsid w:val="005966E2"/>
    <w:rsid w:val="00597007"/>
    <w:rsid w:val="005A0966"/>
    <w:rsid w:val="005A11B7"/>
    <w:rsid w:val="005A260B"/>
    <w:rsid w:val="005A4A1B"/>
    <w:rsid w:val="005A7663"/>
    <w:rsid w:val="005A7830"/>
    <w:rsid w:val="005A7FCE"/>
    <w:rsid w:val="005B0F3F"/>
    <w:rsid w:val="005B4903"/>
    <w:rsid w:val="005B4EAE"/>
    <w:rsid w:val="005B51CE"/>
    <w:rsid w:val="005B5885"/>
    <w:rsid w:val="005B5CD7"/>
    <w:rsid w:val="005B6CF6"/>
    <w:rsid w:val="005B7422"/>
    <w:rsid w:val="005C29B8"/>
    <w:rsid w:val="005C2DFB"/>
    <w:rsid w:val="005C5F21"/>
    <w:rsid w:val="005C7156"/>
    <w:rsid w:val="005D0C75"/>
    <w:rsid w:val="005D4171"/>
    <w:rsid w:val="005D6A95"/>
    <w:rsid w:val="005D6B2C"/>
    <w:rsid w:val="005D6D9C"/>
    <w:rsid w:val="005E2335"/>
    <w:rsid w:val="005E34CA"/>
    <w:rsid w:val="005E3C18"/>
    <w:rsid w:val="005E6812"/>
    <w:rsid w:val="005E7881"/>
    <w:rsid w:val="005E78E0"/>
    <w:rsid w:val="005F026B"/>
    <w:rsid w:val="005F0D9C"/>
    <w:rsid w:val="005F2190"/>
    <w:rsid w:val="005F284E"/>
    <w:rsid w:val="005F4712"/>
    <w:rsid w:val="006015CE"/>
    <w:rsid w:val="006018FA"/>
    <w:rsid w:val="00604784"/>
    <w:rsid w:val="00606419"/>
    <w:rsid w:val="00607D29"/>
    <w:rsid w:val="00612952"/>
    <w:rsid w:val="006141F5"/>
    <w:rsid w:val="00614CC1"/>
    <w:rsid w:val="00615A9D"/>
    <w:rsid w:val="006164CC"/>
    <w:rsid w:val="00617387"/>
    <w:rsid w:val="006205D6"/>
    <w:rsid w:val="006252D8"/>
    <w:rsid w:val="006259BC"/>
    <w:rsid w:val="0062636B"/>
    <w:rsid w:val="00632182"/>
    <w:rsid w:val="00632AE0"/>
    <w:rsid w:val="00633C17"/>
    <w:rsid w:val="00634D9E"/>
    <w:rsid w:val="00636E3E"/>
    <w:rsid w:val="006379F7"/>
    <w:rsid w:val="00637E4D"/>
    <w:rsid w:val="00640620"/>
    <w:rsid w:val="006418A8"/>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6629A"/>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1D87"/>
    <w:rsid w:val="006B2672"/>
    <w:rsid w:val="006B54BF"/>
    <w:rsid w:val="006B5F44"/>
    <w:rsid w:val="006B5F90"/>
    <w:rsid w:val="006B62E4"/>
    <w:rsid w:val="006C1BBA"/>
    <w:rsid w:val="006C1C59"/>
    <w:rsid w:val="006C2079"/>
    <w:rsid w:val="006C5A62"/>
    <w:rsid w:val="006C5D68"/>
    <w:rsid w:val="006C6976"/>
    <w:rsid w:val="006C6DD0"/>
    <w:rsid w:val="006D04EA"/>
    <w:rsid w:val="006D0AB7"/>
    <w:rsid w:val="006D16C4"/>
    <w:rsid w:val="006D3E96"/>
    <w:rsid w:val="006D4468"/>
    <w:rsid w:val="006D4515"/>
    <w:rsid w:val="006D4BB1"/>
    <w:rsid w:val="006D4C16"/>
    <w:rsid w:val="006D5B57"/>
    <w:rsid w:val="006D6593"/>
    <w:rsid w:val="006E23EA"/>
    <w:rsid w:val="006E295B"/>
    <w:rsid w:val="006E5199"/>
    <w:rsid w:val="006F03A8"/>
    <w:rsid w:val="006F2ACA"/>
    <w:rsid w:val="006F2ADC"/>
    <w:rsid w:val="006F2BFE"/>
    <w:rsid w:val="006F31E9"/>
    <w:rsid w:val="006F6284"/>
    <w:rsid w:val="007002C5"/>
    <w:rsid w:val="00701E0B"/>
    <w:rsid w:val="00704387"/>
    <w:rsid w:val="00707669"/>
    <w:rsid w:val="00711CBA"/>
    <w:rsid w:val="00711FB5"/>
    <w:rsid w:val="00712A01"/>
    <w:rsid w:val="00714F58"/>
    <w:rsid w:val="00721A9B"/>
    <w:rsid w:val="00722FBF"/>
    <w:rsid w:val="00722FC2"/>
    <w:rsid w:val="00724620"/>
    <w:rsid w:val="00724879"/>
    <w:rsid w:val="00724E1B"/>
    <w:rsid w:val="00725949"/>
    <w:rsid w:val="00727FA2"/>
    <w:rsid w:val="007322D9"/>
    <w:rsid w:val="00732BC0"/>
    <w:rsid w:val="0073720F"/>
    <w:rsid w:val="00737796"/>
    <w:rsid w:val="00740833"/>
    <w:rsid w:val="0074165C"/>
    <w:rsid w:val="00742C35"/>
    <w:rsid w:val="007432CA"/>
    <w:rsid w:val="007439EB"/>
    <w:rsid w:val="00743CB4"/>
    <w:rsid w:val="00743F0A"/>
    <w:rsid w:val="007444E8"/>
    <w:rsid w:val="00744823"/>
    <w:rsid w:val="0074548E"/>
    <w:rsid w:val="00745773"/>
    <w:rsid w:val="00745A08"/>
    <w:rsid w:val="00746800"/>
    <w:rsid w:val="00746F22"/>
    <w:rsid w:val="007501A8"/>
    <w:rsid w:val="00750D61"/>
    <w:rsid w:val="00750EE1"/>
    <w:rsid w:val="00752B4D"/>
    <w:rsid w:val="00755402"/>
    <w:rsid w:val="00756B26"/>
    <w:rsid w:val="00756EDF"/>
    <w:rsid w:val="007600E3"/>
    <w:rsid w:val="00765C43"/>
    <w:rsid w:val="00765EFB"/>
    <w:rsid w:val="00766407"/>
    <w:rsid w:val="007671CA"/>
    <w:rsid w:val="00767C61"/>
    <w:rsid w:val="0077008A"/>
    <w:rsid w:val="00773BA9"/>
    <w:rsid w:val="00773C07"/>
    <w:rsid w:val="00773C1F"/>
    <w:rsid w:val="00774DA4"/>
    <w:rsid w:val="00776599"/>
    <w:rsid w:val="0078114B"/>
    <w:rsid w:val="00781DD2"/>
    <w:rsid w:val="0078362C"/>
    <w:rsid w:val="00783ECF"/>
    <w:rsid w:val="0078413A"/>
    <w:rsid w:val="007848DF"/>
    <w:rsid w:val="00790C10"/>
    <w:rsid w:val="007959E8"/>
    <w:rsid w:val="00795A38"/>
    <w:rsid w:val="00795E9C"/>
    <w:rsid w:val="007A0521"/>
    <w:rsid w:val="007A2E12"/>
    <w:rsid w:val="007A3475"/>
    <w:rsid w:val="007A41C8"/>
    <w:rsid w:val="007A54CE"/>
    <w:rsid w:val="007A6FD9"/>
    <w:rsid w:val="007A7FFA"/>
    <w:rsid w:val="007B04EB"/>
    <w:rsid w:val="007B0D4F"/>
    <w:rsid w:val="007B5A3D"/>
    <w:rsid w:val="007B5B95"/>
    <w:rsid w:val="007B6523"/>
    <w:rsid w:val="007B68EA"/>
    <w:rsid w:val="007B7453"/>
    <w:rsid w:val="007C07A4"/>
    <w:rsid w:val="007C1E8B"/>
    <w:rsid w:val="007C2D89"/>
    <w:rsid w:val="007C4593"/>
    <w:rsid w:val="007C5309"/>
    <w:rsid w:val="007C563E"/>
    <w:rsid w:val="007C6069"/>
    <w:rsid w:val="007C7875"/>
    <w:rsid w:val="007C7B76"/>
    <w:rsid w:val="007D06C4"/>
    <w:rsid w:val="007D1352"/>
    <w:rsid w:val="007D2508"/>
    <w:rsid w:val="007D286C"/>
    <w:rsid w:val="007D346A"/>
    <w:rsid w:val="007D6518"/>
    <w:rsid w:val="007D76BD"/>
    <w:rsid w:val="007D7D20"/>
    <w:rsid w:val="007D7E65"/>
    <w:rsid w:val="007E0BF1"/>
    <w:rsid w:val="007F0032"/>
    <w:rsid w:val="007F0ED8"/>
    <w:rsid w:val="007F0F63"/>
    <w:rsid w:val="007F4059"/>
    <w:rsid w:val="007F75CE"/>
    <w:rsid w:val="008013A4"/>
    <w:rsid w:val="008027CE"/>
    <w:rsid w:val="00802F42"/>
    <w:rsid w:val="00804383"/>
    <w:rsid w:val="00804BB7"/>
    <w:rsid w:val="00804D41"/>
    <w:rsid w:val="00810257"/>
    <w:rsid w:val="008104F5"/>
    <w:rsid w:val="00811072"/>
    <w:rsid w:val="00811369"/>
    <w:rsid w:val="00815419"/>
    <w:rsid w:val="0081566B"/>
    <w:rsid w:val="008163C8"/>
    <w:rsid w:val="008164A1"/>
    <w:rsid w:val="00817325"/>
    <w:rsid w:val="00817F69"/>
    <w:rsid w:val="008209E6"/>
    <w:rsid w:val="00823303"/>
    <w:rsid w:val="008233B2"/>
    <w:rsid w:val="0082367B"/>
    <w:rsid w:val="00823A9F"/>
    <w:rsid w:val="00823C85"/>
    <w:rsid w:val="00825138"/>
    <w:rsid w:val="008269DD"/>
    <w:rsid w:val="00830621"/>
    <w:rsid w:val="00832773"/>
    <w:rsid w:val="0083348C"/>
    <w:rsid w:val="008373D3"/>
    <w:rsid w:val="00840617"/>
    <w:rsid w:val="00840F84"/>
    <w:rsid w:val="00842A47"/>
    <w:rsid w:val="00843524"/>
    <w:rsid w:val="00843C13"/>
    <w:rsid w:val="00845160"/>
    <w:rsid w:val="008454F8"/>
    <w:rsid w:val="0084685D"/>
    <w:rsid w:val="00846FD7"/>
    <w:rsid w:val="0085050F"/>
    <w:rsid w:val="0085173A"/>
    <w:rsid w:val="00856316"/>
    <w:rsid w:val="00857AAF"/>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499"/>
    <w:rsid w:val="008F17A3"/>
    <w:rsid w:val="008F1ED3"/>
    <w:rsid w:val="008F23A5"/>
    <w:rsid w:val="008F4C29"/>
    <w:rsid w:val="008F643E"/>
    <w:rsid w:val="008F70BD"/>
    <w:rsid w:val="008F788F"/>
    <w:rsid w:val="008F7EA2"/>
    <w:rsid w:val="00902722"/>
    <w:rsid w:val="009027BC"/>
    <w:rsid w:val="0090612E"/>
    <w:rsid w:val="009062E6"/>
    <w:rsid w:val="00911BE5"/>
    <w:rsid w:val="00913CA9"/>
    <w:rsid w:val="009145AE"/>
    <w:rsid w:val="009146CE"/>
    <w:rsid w:val="00914CA7"/>
    <w:rsid w:val="00915C3E"/>
    <w:rsid w:val="009161A8"/>
    <w:rsid w:val="009245F5"/>
    <w:rsid w:val="009249EC"/>
    <w:rsid w:val="009273B3"/>
    <w:rsid w:val="009305B5"/>
    <w:rsid w:val="009334ED"/>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2BB"/>
    <w:rsid w:val="00977A94"/>
    <w:rsid w:val="00977D02"/>
    <w:rsid w:val="009809BB"/>
    <w:rsid w:val="0098364B"/>
    <w:rsid w:val="009911AF"/>
    <w:rsid w:val="00991875"/>
    <w:rsid w:val="00991F92"/>
    <w:rsid w:val="00992985"/>
    <w:rsid w:val="00993889"/>
    <w:rsid w:val="0099551B"/>
    <w:rsid w:val="00997BF1"/>
    <w:rsid w:val="009A089C"/>
    <w:rsid w:val="009A0E4D"/>
    <w:rsid w:val="009A118E"/>
    <w:rsid w:val="009A21CD"/>
    <w:rsid w:val="009A278C"/>
    <w:rsid w:val="009A2BC2"/>
    <w:rsid w:val="009A42C1"/>
    <w:rsid w:val="009A5429"/>
    <w:rsid w:val="009A5943"/>
    <w:rsid w:val="009A72AD"/>
    <w:rsid w:val="009B09E0"/>
    <w:rsid w:val="009B0BC5"/>
    <w:rsid w:val="009B1247"/>
    <w:rsid w:val="009B26FA"/>
    <w:rsid w:val="009B403F"/>
    <w:rsid w:val="009B46F9"/>
    <w:rsid w:val="009B6029"/>
    <w:rsid w:val="009B6971"/>
    <w:rsid w:val="009B69F9"/>
    <w:rsid w:val="009C27F1"/>
    <w:rsid w:val="009C3152"/>
    <w:rsid w:val="009C4CFA"/>
    <w:rsid w:val="009C5070"/>
    <w:rsid w:val="009C6F31"/>
    <w:rsid w:val="009D112C"/>
    <w:rsid w:val="009D47FA"/>
    <w:rsid w:val="009D4C5B"/>
    <w:rsid w:val="009D50D2"/>
    <w:rsid w:val="009D6BCA"/>
    <w:rsid w:val="009E0544"/>
    <w:rsid w:val="009E085E"/>
    <w:rsid w:val="009E0F62"/>
    <w:rsid w:val="009E4A58"/>
    <w:rsid w:val="009E5A2D"/>
    <w:rsid w:val="009E5AB2"/>
    <w:rsid w:val="009E6219"/>
    <w:rsid w:val="009E7E78"/>
    <w:rsid w:val="009F03B3"/>
    <w:rsid w:val="00A0096C"/>
    <w:rsid w:val="00A00EAB"/>
    <w:rsid w:val="00A01757"/>
    <w:rsid w:val="00A028C0"/>
    <w:rsid w:val="00A02BAE"/>
    <w:rsid w:val="00A02E34"/>
    <w:rsid w:val="00A06A6B"/>
    <w:rsid w:val="00A07E47"/>
    <w:rsid w:val="00A1184A"/>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16CE"/>
    <w:rsid w:val="00A55BD6"/>
    <w:rsid w:val="00A55D50"/>
    <w:rsid w:val="00A57142"/>
    <w:rsid w:val="00A648CD"/>
    <w:rsid w:val="00A6537A"/>
    <w:rsid w:val="00A67866"/>
    <w:rsid w:val="00A70562"/>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1BB"/>
    <w:rsid w:val="00AA4286"/>
    <w:rsid w:val="00AA456B"/>
    <w:rsid w:val="00AA57F5"/>
    <w:rsid w:val="00AA672E"/>
    <w:rsid w:val="00AA6EC9"/>
    <w:rsid w:val="00AB41D5"/>
    <w:rsid w:val="00AB61E1"/>
    <w:rsid w:val="00AB6309"/>
    <w:rsid w:val="00AB6C5F"/>
    <w:rsid w:val="00AB7129"/>
    <w:rsid w:val="00AC269D"/>
    <w:rsid w:val="00AC27A6"/>
    <w:rsid w:val="00AC30F7"/>
    <w:rsid w:val="00AC3A5A"/>
    <w:rsid w:val="00AC4D95"/>
    <w:rsid w:val="00AC5DF4"/>
    <w:rsid w:val="00AD0AB8"/>
    <w:rsid w:val="00AD0AEF"/>
    <w:rsid w:val="00AD11B7"/>
    <w:rsid w:val="00AD1A94"/>
    <w:rsid w:val="00AD1C05"/>
    <w:rsid w:val="00AD22C8"/>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5B0B"/>
    <w:rsid w:val="00B261F1"/>
    <w:rsid w:val="00B265BC"/>
    <w:rsid w:val="00B31FB1"/>
    <w:rsid w:val="00B33952"/>
    <w:rsid w:val="00B33C5E"/>
    <w:rsid w:val="00B342F4"/>
    <w:rsid w:val="00B34369"/>
    <w:rsid w:val="00B34DC2"/>
    <w:rsid w:val="00B378E5"/>
    <w:rsid w:val="00B42A3B"/>
    <w:rsid w:val="00B4346D"/>
    <w:rsid w:val="00B440F4"/>
    <w:rsid w:val="00B447A5"/>
    <w:rsid w:val="00B4654C"/>
    <w:rsid w:val="00B46AF0"/>
    <w:rsid w:val="00B47293"/>
    <w:rsid w:val="00B50E50"/>
    <w:rsid w:val="00B50FE8"/>
    <w:rsid w:val="00B519B3"/>
    <w:rsid w:val="00B52120"/>
    <w:rsid w:val="00B538A3"/>
    <w:rsid w:val="00B54ABC"/>
    <w:rsid w:val="00B54DDE"/>
    <w:rsid w:val="00B56FBE"/>
    <w:rsid w:val="00B60ACF"/>
    <w:rsid w:val="00B62B58"/>
    <w:rsid w:val="00B63772"/>
    <w:rsid w:val="00B65149"/>
    <w:rsid w:val="00B66567"/>
    <w:rsid w:val="00B66F52"/>
    <w:rsid w:val="00B66FE5"/>
    <w:rsid w:val="00B72880"/>
    <w:rsid w:val="00B758BF"/>
    <w:rsid w:val="00B77EC8"/>
    <w:rsid w:val="00B827A6"/>
    <w:rsid w:val="00B831CE"/>
    <w:rsid w:val="00B86677"/>
    <w:rsid w:val="00B86D4F"/>
    <w:rsid w:val="00B87131"/>
    <w:rsid w:val="00B93565"/>
    <w:rsid w:val="00B939B1"/>
    <w:rsid w:val="00B96D40"/>
    <w:rsid w:val="00B97386"/>
    <w:rsid w:val="00BA263B"/>
    <w:rsid w:val="00BA42B2"/>
    <w:rsid w:val="00BA58D4"/>
    <w:rsid w:val="00BA5B9E"/>
    <w:rsid w:val="00BA5E1E"/>
    <w:rsid w:val="00BA7C9A"/>
    <w:rsid w:val="00BB203B"/>
    <w:rsid w:val="00BB237C"/>
    <w:rsid w:val="00BB5F8F"/>
    <w:rsid w:val="00BB657A"/>
    <w:rsid w:val="00BC1A4E"/>
    <w:rsid w:val="00BC22CB"/>
    <w:rsid w:val="00BC4790"/>
    <w:rsid w:val="00BC5DC7"/>
    <w:rsid w:val="00BC6B8B"/>
    <w:rsid w:val="00BC73D8"/>
    <w:rsid w:val="00BD20BD"/>
    <w:rsid w:val="00BD52D7"/>
    <w:rsid w:val="00BD5AD2"/>
    <w:rsid w:val="00BD5BF8"/>
    <w:rsid w:val="00BE22F3"/>
    <w:rsid w:val="00BE5B52"/>
    <w:rsid w:val="00BE5DC3"/>
    <w:rsid w:val="00BE7B8D"/>
    <w:rsid w:val="00BF0993"/>
    <w:rsid w:val="00BF10A9"/>
    <w:rsid w:val="00BF1703"/>
    <w:rsid w:val="00BF231C"/>
    <w:rsid w:val="00BF51E5"/>
    <w:rsid w:val="00BF74A6"/>
    <w:rsid w:val="00BF7C2F"/>
    <w:rsid w:val="00C013AD"/>
    <w:rsid w:val="00C022CD"/>
    <w:rsid w:val="00C04904"/>
    <w:rsid w:val="00C056B3"/>
    <w:rsid w:val="00C103E5"/>
    <w:rsid w:val="00C13319"/>
    <w:rsid w:val="00C13EE9"/>
    <w:rsid w:val="00C21540"/>
    <w:rsid w:val="00C21906"/>
    <w:rsid w:val="00C21BFA"/>
    <w:rsid w:val="00C22148"/>
    <w:rsid w:val="00C24C8D"/>
    <w:rsid w:val="00C25FE2"/>
    <w:rsid w:val="00C26B53"/>
    <w:rsid w:val="00C279B2"/>
    <w:rsid w:val="00C30890"/>
    <w:rsid w:val="00C32FF9"/>
    <w:rsid w:val="00C33E50"/>
    <w:rsid w:val="00C34C20"/>
    <w:rsid w:val="00C35A3E"/>
    <w:rsid w:val="00C42130"/>
    <w:rsid w:val="00C423A4"/>
    <w:rsid w:val="00C44BF5"/>
    <w:rsid w:val="00C521D6"/>
    <w:rsid w:val="00C54625"/>
    <w:rsid w:val="00C55232"/>
    <w:rsid w:val="00C553A4"/>
    <w:rsid w:val="00C55A06"/>
    <w:rsid w:val="00C55D03"/>
    <w:rsid w:val="00C601BC"/>
    <w:rsid w:val="00C6329F"/>
    <w:rsid w:val="00C63340"/>
    <w:rsid w:val="00C643F9"/>
    <w:rsid w:val="00C64E95"/>
    <w:rsid w:val="00C71372"/>
    <w:rsid w:val="00C72410"/>
    <w:rsid w:val="00C7287F"/>
    <w:rsid w:val="00C72E22"/>
    <w:rsid w:val="00C74EEC"/>
    <w:rsid w:val="00C75524"/>
    <w:rsid w:val="00C77C87"/>
    <w:rsid w:val="00C80982"/>
    <w:rsid w:val="00C80CB8"/>
    <w:rsid w:val="00C81835"/>
    <w:rsid w:val="00C819F8"/>
    <w:rsid w:val="00C8248C"/>
    <w:rsid w:val="00C84E33"/>
    <w:rsid w:val="00C86D6F"/>
    <w:rsid w:val="00C905FC"/>
    <w:rsid w:val="00C90B7E"/>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466D"/>
    <w:rsid w:val="00CB517D"/>
    <w:rsid w:val="00CC038D"/>
    <w:rsid w:val="00CC08DB"/>
    <w:rsid w:val="00CC1815"/>
    <w:rsid w:val="00CC1CC6"/>
    <w:rsid w:val="00CC39FF"/>
    <w:rsid w:val="00CC3C2F"/>
    <w:rsid w:val="00CC4AC8"/>
    <w:rsid w:val="00CC5233"/>
    <w:rsid w:val="00CC5DE6"/>
    <w:rsid w:val="00CC6E4E"/>
    <w:rsid w:val="00CC6FE8"/>
    <w:rsid w:val="00CC7202"/>
    <w:rsid w:val="00CD1E46"/>
    <w:rsid w:val="00CD2808"/>
    <w:rsid w:val="00CD28BF"/>
    <w:rsid w:val="00CD4092"/>
    <w:rsid w:val="00CD4A20"/>
    <w:rsid w:val="00CD50A1"/>
    <w:rsid w:val="00CD519E"/>
    <w:rsid w:val="00CD561D"/>
    <w:rsid w:val="00CE0C4F"/>
    <w:rsid w:val="00CE0D83"/>
    <w:rsid w:val="00CE2505"/>
    <w:rsid w:val="00CE30EA"/>
    <w:rsid w:val="00CF048A"/>
    <w:rsid w:val="00CF155A"/>
    <w:rsid w:val="00CF2947"/>
    <w:rsid w:val="00CF5193"/>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37A3B"/>
    <w:rsid w:val="00D4162B"/>
    <w:rsid w:val="00D416CC"/>
    <w:rsid w:val="00D4514F"/>
    <w:rsid w:val="00D451E2"/>
    <w:rsid w:val="00D45E89"/>
    <w:rsid w:val="00D45E8D"/>
    <w:rsid w:val="00D466AE"/>
    <w:rsid w:val="00D4734F"/>
    <w:rsid w:val="00D51BF3"/>
    <w:rsid w:val="00D536AF"/>
    <w:rsid w:val="00D66846"/>
    <w:rsid w:val="00D675FB"/>
    <w:rsid w:val="00D71F25"/>
    <w:rsid w:val="00D72A9C"/>
    <w:rsid w:val="00D77031"/>
    <w:rsid w:val="00D77D73"/>
    <w:rsid w:val="00D84941"/>
    <w:rsid w:val="00D84FA1"/>
    <w:rsid w:val="00D851F0"/>
    <w:rsid w:val="00D86DB7"/>
    <w:rsid w:val="00D926D0"/>
    <w:rsid w:val="00D93030"/>
    <w:rsid w:val="00D950E1"/>
    <w:rsid w:val="00D951B1"/>
    <w:rsid w:val="00D952A6"/>
    <w:rsid w:val="00D97F99"/>
    <w:rsid w:val="00DA1E08"/>
    <w:rsid w:val="00DA24F8"/>
    <w:rsid w:val="00DA28E8"/>
    <w:rsid w:val="00DA38D3"/>
    <w:rsid w:val="00DA3932"/>
    <w:rsid w:val="00DA3AFC"/>
    <w:rsid w:val="00DA5191"/>
    <w:rsid w:val="00DA587A"/>
    <w:rsid w:val="00DA626A"/>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3433"/>
    <w:rsid w:val="00DE6E81"/>
    <w:rsid w:val="00DE703F"/>
    <w:rsid w:val="00DE7181"/>
    <w:rsid w:val="00DE7595"/>
    <w:rsid w:val="00DF1961"/>
    <w:rsid w:val="00DF44DE"/>
    <w:rsid w:val="00DF5D34"/>
    <w:rsid w:val="00DF5F11"/>
    <w:rsid w:val="00E01138"/>
    <w:rsid w:val="00E02DFB"/>
    <w:rsid w:val="00E030F9"/>
    <w:rsid w:val="00E0311A"/>
    <w:rsid w:val="00E03138"/>
    <w:rsid w:val="00E0463B"/>
    <w:rsid w:val="00E06404"/>
    <w:rsid w:val="00E065D2"/>
    <w:rsid w:val="00E11A85"/>
    <w:rsid w:val="00E12495"/>
    <w:rsid w:val="00E1271D"/>
    <w:rsid w:val="00E15CCD"/>
    <w:rsid w:val="00E202EF"/>
    <w:rsid w:val="00E210B5"/>
    <w:rsid w:val="00E23D99"/>
    <w:rsid w:val="00E2552F"/>
    <w:rsid w:val="00E3137A"/>
    <w:rsid w:val="00E32CCF"/>
    <w:rsid w:val="00E34A98"/>
    <w:rsid w:val="00E35D1E"/>
    <w:rsid w:val="00E364F9"/>
    <w:rsid w:val="00E365FA"/>
    <w:rsid w:val="00E36789"/>
    <w:rsid w:val="00E44A83"/>
    <w:rsid w:val="00E45215"/>
    <w:rsid w:val="00E47F5C"/>
    <w:rsid w:val="00E502C1"/>
    <w:rsid w:val="00E502DD"/>
    <w:rsid w:val="00E50D3A"/>
    <w:rsid w:val="00E51387"/>
    <w:rsid w:val="00E51E68"/>
    <w:rsid w:val="00E52EFD"/>
    <w:rsid w:val="00E5408A"/>
    <w:rsid w:val="00E56800"/>
    <w:rsid w:val="00E57AE2"/>
    <w:rsid w:val="00E60C63"/>
    <w:rsid w:val="00E62FF9"/>
    <w:rsid w:val="00E635D6"/>
    <w:rsid w:val="00E639BC"/>
    <w:rsid w:val="00E664CC"/>
    <w:rsid w:val="00E70388"/>
    <w:rsid w:val="00E70F92"/>
    <w:rsid w:val="00E72927"/>
    <w:rsid w:val="00E74C54"/>
    <w:rsid w:val="00E77A03"/>
    <w:rsid w:val="00E822E8"/>
    <w:rsid w:val="00E82554"/>
    <w:rsid w:val="00E82606"/>
    <w:rsid w:val="00E83A74"/>
    <w:rsid w:val="00E846C8"/>
    <w:rsid w:val="00E84957"/>
    <w:rsid w:val="00E84A55"/>
    <w:rsid w:val="00E85BFF"/>
    <w:rsid w:val="00E90391"/>
    <w:rsid w:val="00E906C2"/>
    <w:rsid w:val="00E913C1"/>
    <w:rsid w:val="00E9311F"/>
    <w:rsid w:val="00E934D1"/>
    <w:rsid w:val="00E94AF0"/>
    <w:rsid w:val="00E95D13"/>
    <w:rsid w:val="00E95DD3"/>
    <w:rsid w:val="00E969D5"/>
    <w:rsid w:val="00EA20BE"/>
    <w:rsid w:val="00EA58D1"/>
    <w:rsid w:val="00EA61BC"/>
    <w:rsid w:val="00EA681A"/>
    <w:rsid w:val="00EA735B"/>
    <w:rsid w:val="00EB17DE"/>
    <w:rsid w:val="00EB19BF"/>
    <w:rsid w:val="00EB1E69"/>
    <w:rsid w:val="00EB2086"/>
    <w:rsid w:val="00EB2F39"/>
    <w:rsid w:val="00EB5EDF"/>
    <w:rsid w:val="00EB60FE"/>
    <w:rsid w:val="00EB74DB"/>
    <w:rsid w:val="00EC5359"/>
    <w:rsid w:val="00EC562A"/>
    <w:rsid w:val="00ED067A"/>
    <w:rsid w:val="00ED2B50"/>
    <w:rsid w:val="00EE0350"/>
    <w:rsid w:val="00EE0719"/>
    <w:rsid w:val="00EE0E80"/>
    <w:rsid w:val="00EE3E8A"/>
    <w:rsid w:val="00EE54A6"/>
    <w:rsid w:val="00EE613F"/>
    <w:rsid w:val="00EE7295"/>
    <w:rsid w:val="00EE7869"/>
    <w:rsid w:val="00EF054A"/>
    <w:rsid w:val="00EF3235"/>
    <w:rsid w:val="00EF6483"/>
    <w:rsid w:val="00EF7E72"/>
    <w:rsid w:val="00F06D37"/>
    <w:rsid w:val="00F07B9D"/>
    <w:rsid w:val="00F11586"/>
    <w:rsid w:val="00F1183B"/>
    <w:rsid w:val="00F11C9F"/>
    <w:rsid w:val="00F12263"/>
    <w:rsid w:val="00F1409D"/>
    <w:rsid w:val="00F14214"/>
    <w:rsid w:val="00F157A9"/>
    <w:rsid w:val="00F15F6E"/>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2E4B"/>
    <w:rsid w:val="00F6412A"/>
    <w:rsid w:val="00F65893"/>
    <w:rsid w:val="00F66A4A"/>
    <w:rsid w:val="00F67906"/>
    <w:rsid w:val="00F71E22"/>
    <w:rsid w:val="00F72142"/>
    <w:rsid w:val="00F72AE7"/>
    <w:rsid w:val="00F77C4F"/>
    <w:rsid w:val="00F81141"/>
    <w:rsid w:val="00F833BA"/>
    <w:rsid w:val="00F84FD0"/>
    <w:rsid w:val="00F859A8"/>
    <w:rsid w:val="00F86D87"/>
    <w:rsid w:val="00F90AEC"/>
    <w:rsid w:val="00F9108B"/>
    <w:rsid w:val="00F91349"/>
    <w:rsid w:val="00F93A8A"/>
    <w:rsid w:val="00F949B2"/>
    <w:rsid w:val="00F95248"/>
    <w:rsid w:val="00F956A9"/>
    <w:rsid w:val="00F963ED"/>
    <w:rsid w:val="00F966CF"/>
    <w:rsid w:val="00F96CAE"/>
    <w:rsid w:val="00F97C99"/>
    <w:rsid w:val="00FA09A4"/>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195E"/>
    <w:rsid w:val="00FD2A7C"/>
    <w:rsid w:val="00FD59EB"/>
    <w:rsid w:val="00FD7299"/>
    <w:rsid w:val="00FE1FBE"/>
    <w:rsid w:val="00FE3901"/>
    <w:rsid w:val="00FE39D3"/>
    <w:rsid w:val="00FE4BCE"/>
    <w:rsid w:val="00FE54AE"/>
    <w:rsid w:val="00FE576A"/>
    <w:rsid w:val="00FE7E79"/>
    <w:rsid w:val="00FF3E7D"/>
    <w:rsid w:val="00FF5888"/>
    <w:rsid w:val="00FF5B99"/>
    <w:rsid w:val="00FF730C"/>
    <w:rsid w:val="00FF73F4"/>
    <w:rsid w:val="00FF7CE4"/>
    <w:rsid w:val="00FF7E39"/>
    <w:rsid w:val="09552C2E"/>
    <w:rsid w:val="130A1441"/>
    <w:rsid w:val="18875A31"/>
    <w:rsid w:val="19EE29CF"/>
    <w:rsid w:val="1B303363"/>
    <w:rsid w:val="1DF016B7"/>
    <w:rsid w:val="46D3545B"/>
    <w:rsid w:val="68D56950"/>
    <w:rsid w:val="796956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b/>
      <w:bCs/>
      <w:kern w:val="44"/>
      <w:sz w:val="44"/>
      <w:szCs w:val="44"/>
    </w:rPr>
  </w:style>
  <w:style w:type="character" w:customStyle="1" w:styleId="35">
    <w:name w:val="标题 2 Char"/>
    <w:link w:val="3"/>
    <w:qFormat/>
    <w:uiPriority w:val="0"/>
    <w:rPr>
      <w:rFonts w:ascii="Arial" w:hAnsi="Arial" w:eastAsia="黑体"/>
      <w:b/>
      <w:bCs/>
      <w:kern w:val="2"/>
      <w:sz w:val="32"/>
      <w:szCs w:val="32"/>
    </w:rPr>
  </w:style>
  <w:style w:type="character" w:customStyle="1" w:styleId="36">
    <w:name w:val="标题 3 Char"/>
    <w:link w:val="4"/>
    <w:qFormat/>
    <w:uiPriority w:val="0"/>
    <w:rPr>
      <w:b/>
      <w:bCs/>
      <w:kern w:val="2"/>
      <w:sz w:val="32"/>
      <w:szCs w:val="32"/>
    </w:rPr>
  </w:style>
  <w:style w:type="character" w:customStyle="1" w:styleId="37">
    <w:name w:val="标题 4 Char"/>
    <w:link w:val="5"/>
    <w:qFormat/>
    <w:uiPriority w:val="0"/>
    <w:rPr>
      <w:rFonts w:ascii="Arial" w:hAnsi="Arial" w:eastAsia="黑体"/>
      <w:b/>
      <w:bCs/>
      <w:kern w:val="2"/>
      <w:sz w:val="28"/>
      <w:szCs w:val="28"/>
    </w:rPr>
  </w:style>
  <w:style w:type="character" w:customStyle="1" w:styleId="38">
    <w:name w:val="标题 5 Char"/>
    <w:link w:val="6"/>
    <w:qFormat/>
    <w:uiPriority w:val="0"/>
    <w:rPr>
      <w:b/>
      <w:bCs/>
      <w:kern w:val="2"/>
      <w:sz w:val="28"/>
      <w:szCs w:val="28"/>
    </w:rPr>
  </w:style>
  <w:style w:type="character" w:customStyle="1" w:styleId="39">
    <w:name w:val="标题 6 Char"/>
    <w:link w:val="7"/>
    <w:qFormat/>
    <w:uiPriority w:val="0"/>
    <w:rPr>
      <w:rFonts w:ascii="Arial" w:hAnsi="Arial" w:eastAsia="黑体"/>
      <w:b/>
      <w:bCs/>
      <w:kern w:val="2"/>
      <w:sz w:val="24"/>
      <w:szCs w:val="24"/>
    </w:rPr>
  </w:style>
  <w:style w:type="character" w:customStyle="1" w:styleId="40">
    <w:name w:val="标题 7 Char"/>
    <w:link w:val="8"/>
    <w:qFormat/>
    <w:uiPriority w:val="0"/>
    <w:rPr>
      <w:b/>
      <w:bCs/>
      <w:kern w:val="2"/>
      <w:sz w:val="24"/>
      <w:szCs w:val="24"/>
    </w:rPr>
  </w:style>
  <w:style w:type="character" w:customStyle="1" w:styleId="41">
    <w:name w:val="标题 8 Char"/>
    <w:link w:val="9"/>
    <w:qFormat/>
    <w:uiPriority w:val="0"/>
    <w:rPr>
      <w:rFonts w:ascii="Arial" w:hAnsi="Arial" w:eastAsia="黑体"/>
      <w:kern w:val="2"/>
      <w:sz w:val="24"/>
      <w:szCs w:val="24"/>
    </w:rPr>
  </w:style>
  <w:style w:type="character" w:customStyle="1" w:styleId="42">
    <w:name w:val="标题 9 Char"/>
    <w:link w:val="10"/>
    <w:qFormat/>
    <w:uiPriority w:val="0"/>
    <w:rPr>
      <w:rFonts w:ascii="Arial" w:hAnsi="Arial" w:eastAsia="黑体"/>
      <w:kern w:val="2"/>
      <w:sz w:val="21"/>
      <w:szCs w:val="21"/>
    </w:rPr>
  </w:style>
  <w:style w:type="character" w:customStyle="1" w:styleId="43">
    <w:name w:val="页眉 Char"/>
    <w:link w:val="18"/>
    <w:qFormat/>
    <w:uiPriority w:val="99"/>
    <w:rPr>
      <w:kern w:val="2"/>
      <w:sz w:val="18"/>
      <w:szCs w:val="18"/>
    </w:rPr>
  </w:style>
  <w:style w:type="character" w:customStyle="1" w:styleId="44">
    <w:name w:val="页脚 Char"/>
    <w:link w:val="17"/>
    <w:qFormat/>
    <w:uiPriority w:val="99"/>
    <w:rPr>
      <w:rFonts w:ascii="宋体"/>
      <w:kern w:val="2"/>
      <w:sz w:val="18"/>
      <w:szCs w:val="18"/>
    </w:rPr>
  </w:style>
  <w:style w:type="character" w:customStyle="1" w:styleId="45">
    <w:name w:val="批注框文本 Char"/>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kern w:val="2"/>
      <w:sz w:val="21"/>
      <w:szCs w:val="21"/>
    </w:rPr>
  </w:style>
  <w:style w:type="character" w:customStyle="1" w:styleId="48">
    <w:name w:val="标题 Char"/>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Lines="50" w:afterLines="50"/>
      <w:ind w:left="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Lines="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ind w:left="0"/>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Lines="50" w:afterLines="50"/>
      <w:ind w:left="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Lines="0" w:afterLines="0"/>
      <w:outlineLvl w:val="9"/>
    </w:pPr>
    <w:rPr>
      <w:rFonts w:ascii="宋体" w:eastAsia="宋体"/>
    </w:rPr>
  </w:style>
  <w:style w:type="paragraph" w:customStyle="1" w:styleId="163">
    <w:name w:val="标准文件_五级无标题"/>
    <w:basedOn w:val="103"/>
    <w:qFormat/>
    <w:uiPriority w:val="0"/>
    <w:pPr>
      <w:spacing w:beforeLines="0" w:afterLines="0"/>
      <w:outlineLvl w:val="9"/>
    </w:pPr>
    <w:rPr>
      <w:rFonts w:ascii="宋体" w:eastAsia="宋体"/>
    </w:rPr>
  </w:style>
  <w:style w:type="paragraph" w:customStyle="1" w:styleId="164">
    <w:name w:val="标准文件_三级无标题"/>
    <w:basedOn w:val="94"/>
    <w:qFormat/>
    <w:uiPriority w:val="0"/>
    <w:pPr>
      <w:spacing w:beforeLines="0" w:afterLines="0"/>
      <w:outlineLvl w:val="9"/>
    </w:pPr>
    <w:rPr>
      <w:rFonts w:ascii="宋体" w:eastAsia="宋体"/>
    </w:rPr>
  </w:style>
  <w:style w:type="paragraph" w:customStyle="1" w:styleId="165">
    <w:name w:val="标准文件_二级无标题"/>
    <w:basedOn w:val="65"/>
    <w:qFormat/>
    <w:uiPriority w:val="0"/>
    <w:pPr>
      <w:spacing w:beforeLines="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Lines="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Lines="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Lines="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Lines="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Lines="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Lines="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Lines="0" w:afterLines="0" w:line="276" w:lineRule="auto"/>
      <w:outlineLvl w:val="9"/>
    </w:pPr>
    <w:rPr>
      <w:rFonts w:ascii="宋体" w:eastAsia="宋体"/>
    </w:rPr>
  </w:style>
  <w:style w:type="paragraph" w:customStyle="1" w:styleId="212">
    <w:name w:val="标准文件_附录二级无标题"/>
    <w:basedOn w:val="79"/>
    <w:qFormat/>
    <w:uiPriority w:val="0"/>
    <w:pPr>
      <w:spacing w:beforeLines="0" w:afterLines="0" w:line="276" w:lineRule="auto"/>
      <w:outlineLvl w:val="9"/>
    </w:pPr>
    <w:rPr>
      <w:rFonts w:ascii="宋体" w:eastAsia="宋体"/>
    </w:rPr>
  </w:style>
  <w:style w:type="paragraph" w:customStyle="1" w:styleId="213">
    <w:name w:val="标准文件_附录三级无标题"/>
    <w:basedOn w:val="81"/>
    <w:qFormat/>
    <w:uiPriority w:val="0"/>
    <w:pPr>
      <w:spacing w:beforeLines="0" w:afterLines="0" w:line="276" w:lineRule="auto"/>
      <w:outlineLvl w:val="9"/>
    </w:pPr>
    <w:rPr>
      <w:rFonts w:ascii="宋体" w:eastAsia="宋体"/>
    </w:rPr>
  </w:style>
  <w:style w:type="paragraph" w:customStyle="1" w:styleId="214">
    <w:name w:val="标准文件_附录四级无标题"/>
    <w:basedOn w:val="82"/>
    <w:qFormat/>
    <w:uiPriority w:val="0"/>
    <w:pPr>
      <w:spacing w:beforeLines="0" w:afterLines="0" w:line="276" w:lineRule="auto"/>
      <w:outlineLvl w:val="9"/>
    </w:pPr>
    <w:rPr>
      <w:rFonts w:ascii="宋体" w:eastAsia="宋体"/>
    </w:rPr>
  </w:style>
  <w:style w:type="paragraph" w:customStyle="1" w:styleId="215">
    <w:name w:val="标准文件_附录五级无标题"/>
    <w:basedOn w:val="84"/>
    <w:qFormat/>
    <w:uiPriority w:val="0"/>
    <w:pPr>
      <w:spacing w:beforeLines="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Lines="0" w:afterLines="0" w:line="276" w:lineRule="auto"/>
    </w:pPr>
    <w:rPr>
      <w:rFonts w:ascii="宋体" w:eastAsia="宋体"/>
    </w:rPr>
  </w:style>
  <w:style w:type="paragraph" w:customStyle="1" w:styleId="217">
    <w:name w:val="标准文件_引言二级无标题"/>
    <w:basedOn w:val="201"/>
    <w:next w:val="56"/>
    <w:qFormat/>
    <w:uiPriority w:val="0"/>
    <w:pPr>
      <w:spacing w:beforeLines="0" w:afterLines="0" w:line="276" w:lineRule="auto"/>
    </w:pPr>
    <w:rPr>
      <w:rFonts w:ascii="宋体" w:eastAsia="宋体"/>
    </w:rPr>
  </w:style>
  <w:style w:type="paragraph" w:customStyle="1" w:styleId="218">
    <w:name w:val="标准文件_引言三级无标题"/>
    <w:basedOn w:val="202"/>
    <w:qFormat/>
    <w:uiPriority w:val="0"/>
    <w:pPr>
      <w:spacing w:beforeLines="0" w:afterLines="0" w:line="276" w:lineRule="auto"/>
    </w:pPr>
    <w:rPr>
      <w:rFonts w:ascii="宋体" w:eastAsia="宋体"/>
    </w:rPr>
  </w:style>
  <w:style w:type="paragraph" w:customStyle="1" w:styleId="219">
    <w:name w:val="标准文件_引言四级无标题"/>
    <w:basedOn w:val="203"/>
    <w:next w:val="56"/>
    <w:qFormat/>
    <w:uiPriority w:val="0"/>
    <w:pPr>
      <w:spacing w:beforeLines="0" w:afterLines="0" w:line="276" w:lineRule="auto"/>
    </w:pPr>
    <w:rPr>
      <w:rFonts w:ascii="宋体" w:eastAsia="宋体"/>
    </w:rPr>
  </w:style>
  <w:style w:type="paragraph" w:customStyle="1" w:styleId="220">
    <w:name w:val="标准文件_引言五级无标题"/>
    <w:basedOn w:val="204"/>
    <w:next w:val="56"/>
    <w:qFormat/>
    <w:uiPriority w:val="0"/>
    <w:pPr>
      <w:spacing w:beforeLines="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6" Type="http://schemas.openxmlformats.org/officeDocument/2006/relationships/glossaryDocument" Target="glossary/document.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2.jpeg"/><Relationship Id="rId20" Type="http://schemas.openxmlformats.org/officeDocument/2006/relationships/image" Target="media/image1.tiff"/><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BA8B775B6FE64C10ABA4BA644DA8B266"/>
        <w:style w:val=""/>
        <w:category>
          <w:name w:val="常规"/>
          <w:gallery w:val="placeholder"/>
        </w:category>
        <w:types>
          <w:type w:val="bbPlcHdr"/>
        </w:types>
        <w:behaviors>
          <w:behavior w:val="content"/>
        </w:behaviors>
        <w:description w:val=""/>
        <w:guid w:val="{2224E29A-518B-4FC5-B33F-68444819026A}"/>
      </w:docPartPr>
      <w:docPartBody>
        <w:p>
          <w:pPr>
            <w:pStyle w:val="5"/>
          </w:pPr>
          <w:r>
            <w:rPr>
              <w:rStyle w:val="4"/>
              <w:rFonts w:hint="eastAsia"/>
            </w:rPr>
            <w:t>单击或点击此处输入文字。</w:t>
          </w:r>
        </w:p>
      </w:docPartBody>
    </w:docPart>
    <w:docPart>
      <w:docPartPr>
        <w:name w:val="90EAC143C023417685905448AC8C27BF"/>
        <w:style w:val=""/>
        <w:category>
          <w:name w:val="常规"/>
          <w:gallery w:val="placeholder"/>
        </w:category>
        <w:types>
          <w:type w:val="bbPlcHdr"/>
        </w:types>
        <w:behaviors>
          <w:behavior w:val="content"/>
        </w:behaviors>
        <w:description w:val=""/>
        <w:guid w:val="{00A93089-1E2D-4896-AEF7-DEA110FDE8BC}"/>
      </w:docPartPr>
      <w:docPartBody>
        <w:p>
          <w:pPr>
            <w:pStyle w:val="6"/>
          </w:pPr>
          <w:r>
            <w:rPr>
              <w:rStyle w:val="4"/>
              <w:rFonts w:hint="eastAsia"/>
            </w:rPr>
            <w:t>选择一项。</w:t>
          </w:r>
        </w:p>
      </w:docPartBody>
    </w:docPart>
    <w:docPart>
      <w:docPartPr>
        <w:name w:val="8B8ABD056FFD464FBA1EE9AF48C7AF5C"/>
        <w:style w:val=""/>
        <w:category>
          <w:name w:val="常规"/>
          <w:gallery w:val="placeholder"/>
        </w:category>
        <w:types>
          <w:type w:val="bbPlcHdr"/>
        </w:types>
        <w:behaviors>
          <w:behavior w:val="content"/>
        </w:behaviors>
        <w:description w:val=""/>
        <w:guid w:val="{0D3BA205-58AF-4637-92DC-7526E47C269E}"/>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111577"/>
    <w:rsid w:val="0004733B"/>
    <w:rsid w:val="00111577"/>
    <w:rsid w:val="002944A2"/>
    <w:rsid w:val="003A4D6F"/>
    <w:rsid w:val="005C2322"/>
    <w:rsid w:val="00680624"/>
    <w:rsid w:val="006A4B4F"/>
    <w:rsid w:val="00924AF9"/>
    <w:rsid w:val="009802DE"/>
    <w:rsid w:val="00AF2EBF"/>
    <w:rsid w:val="00B93159"/>
    <w:rsid w:val="00C004B3"/>
    <w:rsid w:val="00CB70FA"/>
    <w:rsid w:val="00E6754C"/>
    <w:rsid w:val="00FA68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BA8B775B6FE64C10ABA4BA644DA8B26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90EAC143C023417685905448AC8C27B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8B8ABD056FFD464FBA1EE9AF48C7AF5C"/>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2388CE-B0CF-4FBF-9E56-C23A312719B8}">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10</Pages>
  <Words>621</Words>
  <Characters>3540</Characters>
  <Lines>29</Lines>
  <Paragraphs>8</Paragraphs>
  <TotalTime>5</TotalTime>
  <ScaleCrop>false</ScaleCrop>
  <LinksUpToDate>false</LinksUpToDate>
  <CharactersWithSpaces>4153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2023-03-04T05:37:00Z</dcterms:created>
  <dc:creator>Lenovo</dc:creator>
  <dc:description>&lt;config cover="true" show_menu="true" version="1.0.0" doctype="SDKXY"&gt;_x000d_
&lt;/config&gt;</dc:description>
  <cp:lastModifiedBy>Eleven</cp:lastModifiedBy>
  <cp:lastPrinted>2023-03-05T07:50:00Z</cp:lastPrinted>
  <dcterms:modified xsi:type="dcterms:W3CDTF">2023-10-24T08:23:50Z</dcterms:modified>
  <dc:title>地方标准</dc:title>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2052-12.1.0.15712</vt:lpwstr>
  </property>
  <property fmtid="{D5CDD505-2E9C-101B-9397-08002B2CF9AE}" pid="16" name="ICV">
    <vt:lpwstr>5ED326F4347A47FA81EE9913B83DB32E_13</vt:lpwstr>
  </property>
</Properties>
</file>